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D4F6C" w:val="clear"/>
            <w:tcMar>
              <w:top w:type="dxa" w:w="240"/>
              <w:left w:type="dxa" w:w="400"/>
              <w:bottom w:type="dxa" w:w="240"/>
              <w:right w:type="dxa" w:w="40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32"/>
                <w:szCs w:val="32"/>
              </w:rPr>
              <w:t xml:space="preserve">TIHANYI KÖZÖS ÖNKORMÁNYZATI HIVATAL</w:t>
            </w:r>
          </w:p>
          <w:p>
            <w:pPr>
              <w:spacing w:before="80"/>
              <w:jc w:val="left"/>
            </w:pPr>
            <w:r>
              <w:rPr>
                <w:rFonts w:ascii="Calibri" w:cs="Calibri" w:eastAsia="Calibri" w:hAnsi="Calibri"/>
                <w:color w:val="B0D4E3"/>
                <w:sz w:val="20"/>
                <w:szCs w:val="20"/>
              </w:rPr>
              <w:t xml:space="preserve">8237 Tihany, Kossuth Lajos utca 12.</w:t>
            </w:r>
          </w:p>
        </w:tc>
      </w:tr>
    </w:tbl>
    <w:p>
      <w:pPr>
        <w:spacing w:after="120" w:before="0"/>
      </w:pPr>
    </w:p>
    <w:tbl>
      <w:tblPr>
        <w:tblW w:type="dxa" w:w="2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</w:tblGrid>
      <w:tr>
        <w:tc>
          <w:tcPr>
            <w:tcW w:type="dxa" w:w="2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860C" w:val="clear"/>
            <w:tcMar>
              <w:top w:type="dxa" w:w="60"/>
              <w:left w:type="dxa" w:w="160"/>
              <w:bottom w:type="dxa" w:w="60"/>
              <w:right w:type="dxa" w:w="16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4"/>
                <w:szCs w:val="24"/>
              </w:rPr>
              <w:t xml:space="preserve">TKOH-GDPR-F1-001</w:t>
            </w:r>
          </w:p>
        </w:tc>
      </w:tr>
    </w:tbl>
    <w:p>
      <w:pPr>
        <w:spacing w:after="160" w:before="0"/>
      </w:pPr>
    </w:p>
    <w:p>
      <w:pPr>
        <w:spacing w:after="120" w:before="0"/>
      </w:pPr>
      <w:r>
        <w:rPr>
          <w:rFonts w:ascii="Calibri" w:cs="Calibri" w:eastAsia="Calibri" w:hAnsi="Calibri"/>
          <w:b/>
          <w:bCs/>
          <w:color w:val="0D4F6C"/>
          <w:sz w:val="44"/>
          <w:szCs w:val="44"/>
        </w:rPr>
        <w:t xml:space="preserve">Adatkezelési és Adatbiztonsági Szabályzat</w:t>
      </w:r>
    </w:p>
    <w:p>
      <w:pPr>
        <w:spacing w:after="120" w:before="0"/>
      </w:pPr>
      <w:r>
        <w:rPr>
          <w:rFonts w:ascii="Calibri" w:cs="Calibri" w:eastAsia="Calibri" w:hAnsi="Calibri"/>
          <w:color w:val="1A7A9A"/>
          <w:sz w:val="28"/>
          <w:szCs w:val="28"/>
        </w:rPr>
        <w:t xml:space="preserve">az EU 2016/679 rendelet (GDPR) és a 2011. évi CXII. törvény (Infotv.) alapján</w:t>
      </w:r>
    </w:p>
    <w:p>
      <w:pPr>
        <w:spacing w:after="120" w:before="0"/>
      </w:pPr>
    </w:p>
    <w:tbl>
      <w:tblPr>
        <w:tblW w:type="dxa" w:w="578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582"/>
      </w:tblGrid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DF3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Verzió</w:t>
            </w:r>
          </w:p>
        </w:tc>
        <w:tc>
          <w:tcPr>
            <w:tcW w:type="dxa" w:w="7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v2.1</w:t>
            </w:r>
          </w:p>
        </w:tc>
      </w:tr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DF3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Készült</w:t>
            </w:r>
          </w:p>
        </w:tc>
        <w:tc>
          <w:tcPr>
            <w:tcW w:type="dxa" w:w="7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2026. május 14.</w:t>
            </w:r>
          </w:p>
        </w:tc>
      </w:tr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DF3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Kibocsátó</w:t>
            </w:r>
          </w:p>
        </w:tc>
        <w:tc>
          <w:tcPr>
            <w:tcW w:type="dxa" w:w="7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Tihanyi Közös Önkormányzati Hivatal</w:t>
            </w:r>
          </w:p>
        </w:tc>
      </w:tr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DF3D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Lektor</w:t>
            </w:r>
          </w:p>
        </w:tc>
        <w:tc>
          <w:tcPr>
            <w:tcW w:type="dxa" w:w="7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Dr. Crespo Zsuzsanna Ágnes (DPO)</w:t>
            </w:r>
          </w:p>
        </w:tc>
      </w:tr>
    </w:tbl>
    <w:p>
      <w:pPr>
        <w:spacing w:after="12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782"/>
        <w:gridCol w:w="3856"/>
      </w:tblGrid>
      <w:tr>
        <w:tc>
          <w:tcPr>
            <w:tcW w:type="dxa" w:w="578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A7A9A" w:val="clear"/>
            <w:tcMar>
              <w:top w:type="dxa" w:w="60"/>
              <w:left w:type="dxa" w:w="0"/>
              <w:bottom w:type="dxa" w:w="60"/>
              <w:right w:type="dxa" w:w="0"/>
            </w:tcMar>
          </w:tcPr>
          <w:p/>
        </w:tc>
        <w:tc>
          <w:tcPr>
            <w:tcW w:type="dxa" w:w="385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9860C" w:val="clear"/>
            <w:tcMar>
              <w:top w:type="dxa" w:w="60"/>
              <w:left w:type="dxa" w:w="0"/>
              <w:bottom w:type="dxa" w:w="60"/>
              <w:right w:type="dxa" w:w="0"/>
            </w:tcMar>
          </w:tcPr>
          <w:p/>
        </w:tc>
      </w:tr>
    </w:tbl>
    <w:p>
      <w:r>
        <w:br w:type="page"/>
      </w:r>
    </w:p>
    <w:p>
      <w:pPr>
        <w:pStyle w:val="Heading1"/>
      </w:pPr>
      <w:r>
        <w:t xml:space="preserve">1. Bevezető rendelkezések</w:t>
      </w:r>
    </w:p>
    <w:p>
      <w:pPr>
        <w:pStyle w:val="Heading2"/>
      </w:pPr>
      <w:r>
        <w:t xml:space="preserve">1.1. A szabályzat célja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Jelen Adatkezelési és Adatbiztonsági Szabályzat (a továbbiakban: Szabályzat) célja, hogy a Tihanyi Közös Önkormányzati Hivatal (a továbbiakban: Hivatal) adatkezelési tevékenységét az Európai Parlament és a Tanács (EU) 2016/679 rendeletével (a továbbiakban: GDPR), az információs önrendelkezési jogról és az információszabadságról szóló 2011. évi CXII. törvénnyel (a továbbiakban: Infotv.), valamint az irányadó ágazati jogszabályokkal összhangban szabályozza.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Szabályzat rögzíti a személyes adatok kezelésének elveit, a belső folyamatokat, a foglalkoztatottak kötelezettségeit, valamint az érintett személyek jogainak érvényesítési rendjét.</w:t>
      </w:r>
    </w:p>
    <w:p>
      <w:pPr>
        <w:spacing w:after="120" w:before="0"/>
      </w:pPr>
    </w:p>
    <w:p>
      <w:pPr>
        <w:pStyle w:val="Heading2"/>
      </w:pPr>
      <w:r>
        <w:t xml:space="preserve">1.2. Hatály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/>
          <w:bCs/>
          <w:color w:val="1A1A2E"/>
          <w:sz w:val="22"/>
          <w:szCs w:val="22"/>
        </w:rPr>
        <w:t xml:space="preserve">1.2.1. Személyi hatály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Szabályzat hatálya kiterjed a Hivatal valamennyi foglalkoztatottjára (köztisztviselők, ügykezelők, fizikai alkalmazottak, közfoglalkoztatottak, megbízott személyek), függetlenül a foglalkoztatás formájától és időtartamától.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/>
          <w:bCs/>
          <w:color w:val="1A1A2E"/>
          <w:sz w:val="22"/>
          <w:szCs w:val="22"/>
        </w:rPr>
        <w:t xml:space="preserve">1.2.2. Tárgyi hatály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Szabályzat hatálya kiterjed minden olyan adatkezelési tevékenységre, amelyet a Hivatal önálló adatkezelőként, közös adatkezelőként vagy adatfeldolgozóként végez, függetlenül attól, hogy az adatkezelés papír alapon vagy elektronikusan történik.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/>
          <w:bCs/>
          <w:color w:val="1A1A2E"/>
          <w:sz w:val="22"/>
          <w:szCs w:val="22"/>
        </w:rPr>
        <w:t xml:space="preserve">1.2.3. Területi hatály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Szabályzat hatálya kiterjed a Hivatal székhelyén (8237 Tihany, Kossuth Lajos utca 12.) és kirendeltségein végzett valamennyi adatkezelési tevékenységre. Kirendeltségek: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Aszófői kirendeltség: 8241 Aszófő, Árpád u. 2.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Balatonakali kirendeltség: 8243 Balatonakali, Kossuth L. u. 45.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Balatonudvari kirendeltség: 8242 Balatonudvari, Ady E. u. 16.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Örvényesi kirendeltség: 8244 Örvényes (a tihanyi székhely közigazgatásában)</w:t>
      </w:r>
    </w:p>
    <w:p>
      <w:pPr>
        <w:spacing w:after="120" w:before="0"/>
      </w:pPr>
    </w:p>
    <w:p>
      <w:pPr>
        <w:pStyle w:val="Heading2"/>
      </w:pPr>
      <w:r>
        <w:t xml:space="preserve">1.3. Az adatkezelő azonosítása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Megnevezés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Tihanyi Közös Önkormányzati Hivatal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Rövidítés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TKÖH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Jogelőd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Tihany Község Polgármesteri Hivatal (2013-ig)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Székhely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8237 Tihany, Kossuth Lajos utca 12.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Adószám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15804824-1-19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KSH stat. szám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[KITÖLTENDŐ — statisztikai számjel]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Telefon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+36 87 538 030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E-mail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onkormanyzat@tihany.hu / kozoshivatal@tihany.hu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Honlap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tihany.hu | tihanyonkormanyzat.hu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Képviselő / Vezető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Jurics Tamás jegyző</w:t>
            </w:r>
          </w:p>
        </w:tc>
      </w:tr>
    </w:tbl>
    <w:p>
      <w:pPr>
        <w:spacing w:after="120" w:before="0"/>
      </w:pPr>
    </w:p>
    <w:p>
      <w:pPr>
        <w:pStyle w:val="Heading2"/>
      </w:pPr>
      <w:r>
        <w:t xml:space="preserve">1.4. Az adatvédelmi tisztviselő (DPO)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GDPR 37. cikk (1) bekezdés a) pontja alapján közhatalmi szervként a Hivatal köteles adatvédelmi tisztviselőt kijelölni. A Hivatal adatvédelmi tisztviselőt nevezett ki az alábbiak szerint: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Név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Dr. Crespo Zsuzsanna Ágnes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E-mail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zsuzsanna@crespo.hu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Telefon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+36 30 952 8838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Postacím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5143 Jánoshida, Kossuth körút 12.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Státusz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Külső, megbízási jogviszonyban</w:t>
            </w:r>
          </w:p>
        </w:tc>
      </w:tr>
    </w:tbl>
    <w:p>
      <w:pPr>
        <w:spacing w:after="12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A7A9A" w:sz="8"/>
              <w:left w:val="single" w:color="1A7A9A" w:sz="16"/>
              <w:bottom w:val="single" w:color="1A7A9A" w:sz="2"/>
              <w:right w:val="single" w:color="1A7A9A" w:sz="2"/>
            </w:tcBorders>
            <w:shd w:fill="E8F4F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b/>
                <w:bCs/>
                <w:color w:val="0D4F6C"/>
                <w:sz w:val="22"/>
                <w:szCs w:val="22"/>
              </w:rPr>
              <w:t xml:space="preserve">A DPO feladatai (GDPR 39. cikk):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b w:val="false"/>
                <w:bCs w:val="false"/>
                <w:color w:val="1A1A2E"/>
                <w:sz w:val="22"/>
                <w:szCs w:val="22"/>
              </w:rPr>
              <w:t xml:space="preserve">tájékoztatás és tanácsadás az adatkezelőnek és a foglalkoztatottaknak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b w:val="false"/>
                <w:bCs w:val="false"/>
                <w:color w:val="1A1A2E"/>
                <w:sz w:val="22"/>
                <w:szCs w:val="22"/>
              </w:rPr>
              <w:t xml:space="preserve">az adatvédelmi előírások betartásának nyomon követése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b w:val="false"/>
                <w:bCs w:val="false"/>
                <w:color w:val="1A1A2E"/>
                <w:sz w:val="22"/>
                <w:szCs w:val="22"/>
              </w:rPr>
              <w:t xml:space="preserve">az adatvédelmi hatásvizsgálattal kapcsolatos tanácsadás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b w:val="false"/>
                <w:bCs w:val="false"/>
                <w:color w:val="1A1A2E"/>
                <w:sz w:val="22"/>
                <w:szCs w:val="22"/>
              </w:rPr>
              <w:t xml:space="preserve">együttműködés a felügyeleti hatósággal (NAIH)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before="40"/>
            </w:pPr>
            <w:r>
              <w:rPr>
                <w:b w:val="false"/>
                <w:bCs w:val="false"/>
                <w:color w:val="1A1A2E"/>
                <w:sz w:val="22"/>
                <w:szCs w:val="22"/>
              </w:rPr>
              <w:t xml:space="preserve">kapcsolattartás a felügyeleti hatósággal és az érintettekkel</w:t>
            </w:r>
          </w:p>
        </w:tc>
      </w:tr>
    </w:tbl>
    <w:p>
      <w:pPr>
        <w:spacing w:after="120" w:before="0"/>
      </w:pPr>
    </w:p>
    <w:p>
      <w:pPr>
        <w:pStyle w:val="Heading1"/>
      </w:pPr>
      <w:r>
        <w:t xml:space="preserve">2. Értelmező rendelkezések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E szabályzat alkalmazásában:</w:t>
      </w:r>
    </w:p>
    <w:p>
      <w:pPr>
        <w:spacing w:after="6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Személyes adat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azonosított vagy azonosítható természetes személyre (érintett) vonatkozó bármely információ (GDPR 4. cikk 1. pont)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Különleges adat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faji/etnikai eredet, politikai vélemény, vallási meggyőződés, genetikai/biometrikus adat, egészségi állapot, szexuális élet adatai (GDPR 9. cikk)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Adatkezelő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aki az adatkezelés céljait és eszközeit meghatározza — jelen esetben a Hivatal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Adatfeldolgozó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aki az adatkezelő nevében személyes adatokat kezel (GDPR 4. cikk 8. pont)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Közös adatkezelő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ha két vagy több adatkezelő közösen határozza meg az adatkezelés céljait (GDPR 26. cikk)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Adatkezelés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a személyes adatokon végzett bármely művelet (gyűjtés, rögzítés, tárolás, módosítás, lekérdezés, felhasználás, továbbítás, törlés stb.)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Érintett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az a természetes személy, akinek személyes adatait kezelik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Adatvédelmi incidens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a biztonság sérülése, amely a kezelt személyes adatok véletlen vagy jogellenes megsemmisítéséhez, elvesztéséhez, megváltoztatásához, jogosulatlan nyilvánosságra hozatalához vagy hozzáféréshez vezet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ROPA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az adatkezelési tevékenységek nyilvántartása (GDPR 30. cikk)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DPO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adatvédelmi tisztviselő (Data Protection Officer)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DPIA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adatvédelmi hatásvizsgálat (Data Protection Impact Assessment, GDPR 35. cikk)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LIA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érdekmérlegelési teszt (Legitimate Interest Assessment, GDPR 6(1)(f))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Harmadik ország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az Európai Gazdasági Térségen kívüli állam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EU-US DPF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EU–USA Adatvédelmi Keretrendszer (Data Privacy Framework, 2023/1795/EU végrehajtási határozat)</w:t>
            </w:r>
          </w:p>
        </w:tc>
      </w:tr>
    </w:tbl>
    <w:p>
      <w:pPr>
        <w:spacing w:after="120" w:before="0"/>
      </w:pPr>
    </w:p>
    <w:p>
      <w:pPr>
        <w:pStyle w:val="Heading1"/>
      </w:pPr>
      <w:r>
        <w:t xml:space="preserve">3. Az adatkezelés alapelvei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Hivatal az adatkezelés során maradéktalanul érvényesíti a GDPR 5. cikkében foglalt alapelveket:</w:t>
      </w:r>
    </w:p>
    <w:p>
      <w:pPr>
        <w:spacing w:after="60" w:before="0"/>
      </w:pPr>
    </w:p>
    <w:p>
      <w:pPr>
        <w:pStyle w:val="Heading2"/>
      </w:pPr>
      <w:r>
        <w:t xml:space="preserve">3.1. Jogszerűség, tisztességesség, átláthatóság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személyes adatokat az érintett számára átlátható módon, jogszerűen és tisztességesen kell kezelni. Az érintetteket az adatkezelés megkezdése előtt tájékoztatni kell a GDPR 13–14. cikke alapján.</w:t>
      </w:r>
    </w:p>
    <w:p>
      <w:pPr>
        <w:pStyle w:val="Heading2"/>
      </w:pPr>
      <w:r>
        <w:t xml:space="preserve">3.2. Célhoz kötöttség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személyes adatok gyűjtése csak meghatározott, egyértelmű és jogszerű célból történhet, és az adatok nem kezelhetők a célokkal össze nem egyeztethető módon. Az archiválási, tudományos, statisztikai célú további adatkezelés nem minősül összeegyeztethetetlennek.</w:t>
      </w:r>
    </w:p>
    <w:p>
      <w:pPr>
        <w:pStyle w:val="Heading2"/>
      </w:pPr>
      <w:r>
        <w:t xml:space="preserve">3.3. Adattakarékosság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kezelt adatok az adatkezelés célja szempontjából megfelelők és relevánsak legyenek, és a szükséges mértékre korlátozódjanak. A Hivatal kizárólag a feladatai ellátásához szükséges személyes adatokat kezeli.</w:t>
      </w:r>
    </w:p>
    <w:p>
      <w:pPr>
        <w:pStyle w:val="Heading2"/>
      </w:pPr>
      <w:r>
        <w:t xml:space="preserve">3.4. Pontosság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személyes adatok pontosak és szükség esetén naprakészek legyenek. A pontatlan személyes adatokat haladéktalanul törölni vagy helyesbíteni kell.</w:t>
      </w:r>
    </w:p>
    <w:p>
      <w:pPr>
        <w:pStyle w:val="Heading2"/>
      </w:pPr>
      <w:r>
        <w:t xml:space="preserve">3.5. Korlátozott tárolhatóság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személyes adatok tárolása olyan formában történjen, amely az érintett azonosítását csak a személyes adatok kezelése céljainak eléréséhez szükséges ideig teszi lehetővé. A Hivatal az egyes adatkategóriákra vonatkozó megőrzési időket a 8. fejezetben rögzíti.</w:t>
      </w:r>
    </w:p>
    <w:p>
      <w:pPr>
        <w:pStyle w:val="Heading2"/>
      </w:pPr>
      <w:r>
        <w:t xml:space="preserve">3.6. Integritás és bizalmas jelleg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személyes adatok kezelését oly módon kell végezni, hogy megfelelő technikai vagy szervezési intézkedések alkalmazásával biztosítva legyen a személyes adatok megfelelő biztonsága.</w:t>
      </w:r>
    </w:p>
    <w:p>
      <w:pPr>
        <w:pStyle w:val="Heading2"/>
      </w:pPr>
      <w:r>
        <w:t xml:space="preserve">3.7. Elszámoltathatóság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Az adatkezelő felelős a fenti elvek betartásáért és képes igazolni azok teljesítését. E Szabályzat, a ROPA (TKOH-GDPR-R1-001), az érintetti tájékoztatók, az adatfeldolgozói szerződések és az incidensnapló együttesen biztosítják az elszámoltathatóságot.</w:t>
      </w:r>
    </w:p>
    <w:p>
      <w:pPr>
        <w:spacing w:after="120" w:before="0"/>
      </w:pPr>
    </w:p>
    <w:p>
      <w:pPr>
        <w:pStyle w:val="Heading1"/>
      </w:pPr>
      <w:r>
        <w:t xml:space="preserve">4. Az adatkezelés jogalapjai</w:t>
      </w:r>
    </w:p>
    <w:p>
      <w:pPr>
        <w:pStyle w:val="Heading2"/>
      </w:pPr>
      <w:r>
        <w:t xml:space="preserve">4.1. Alkalmazott jogalapok áttekintése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Hivatal az alábbi GDPR 6. cikk (1) bekezdés szerinti jogalapokra támaszkodik:</w:t>
      </w:r>
    </w:p>
    <w:p>
      <w:pPr>
        <w:spacing w:after="6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2800"/>
        <w:gridCol w:w="5438"/>
      </w:tblGrid>
      <w:tr>
        <w:trPr>
          <w:tblHeader/>
        </w:trPr>
        <w:tc>
          <w:tcPr>
            <w:tcW w:type="dxa" w:w="1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Cikk</w:t>
            </w:r>
          </w:p>
        </w:tc>
        <w:tc>
          <w:tcPr>
            <w:tcW w:type="dxa" w:w="2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Jogalap neve</w:t>
            </w:r>
          </w:p>
        </w:tc>
        <w:tc>
          <w:tcPr>
            <w:tcW w:type="dxa" w:w="5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Alkalmazási körök a Hivatalnál</w:t>
            </w:r>
          </w:p>
        </w:tc>
      </w:tr>
      <w:tr>
        <w:tc>
          <w:tcPr>
            <w:tcW w:type="dxa" w:w="1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6(1)(a)</w:t>
            </w:r>
          </w:p>
        </w:tc>
        <w:tc>
          <w:tcPr>
            <w:tcW w:type="dxa" w:w="2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Hozzájárulás</w:t>
            </w:r>
          </w:p>
        </w:tc>
        <w:tc>
          <w:tcPr>
            <w:tcW w:type="dxa" w:w="5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Hírlevelek, marketing célú fotók közösségi oldalon, kényelmi sütik</w:t>
            </w:r>
          </w:p>
        </w:tc>
      </w:tr>
      <w:tr>
        <w:tc>
          <w:tcPr>
            <w:tcW w:type="dxa" w:w="1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6(1)(b)</w:t>
            </w:r>
          </w:p>
        </w:tc>
        <w:tc>
          <w:tcPr>
            <w:tcW w:type="dxa" w:w="2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Szerződés</w:t>
            </w:r>
          </w:p>
        </w:tc>
        <w:tc>
          <w:tcPr>
            <w:tcW w:type="dxa" w:w="5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Közbeszerzési szerződések, vállalkozói megbízások, bérleti szerződések</w:t>
            </w:r>
          </w:p>
        </w:tc>
      </w:tr>
      <w:tr>
        <w:tc>
          <w:tcPr>
            <w:tcW w:type="dxa" w:w="1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6(1)(c)</w:t>
            </w:r>
          </w:p>
        </w:tc>
        <w:tc>
          <w:tcPr>
            <w:tcW w:type="dxa" w:w="2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Jogi kötelezettség</w:t>
            </w:r>
          </w:p>
        </w:tc>
        <w:tc>
          <w:tcPr>
            <w:tcW w:type="dxa" w:w="5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Számviteli bizonylatok, bérügyek, NAV-bejelentések, TB-nyilvántartás</w:t>
            </w:r>
          </w:p>
        </w:tc>
      </w:tr>
      <w:tr>
        <w:tc>
          <w:tcPr>
            <w:tcW w:type="dxa" w:w="1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6(1)(e)</w:t>
            </w:r>
          </w:p>
        </w:tc>
        <w:tc>
          <w:tcPr>
            <w:tcW w:type="dxa" w:w="2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Közérdekű feladat / közhatalmi jogosítvány</w:t>
            </w:r>
          </w:p>
        </w:tc>
        <w:tc>
          <w:tcPr>
            <w:tcW w:type="dxa" w:w="5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Hatósági ügyek (Ákr.), adóigazgatás, szociális ellátás, anyakönyv, okmánykezelés — ez a FŐ jogalap</w:t>
            </w:r>
          </w:p>
        </w:tc>
      </w:tr>
      <w:tr>
        <w:tc>
          <w:tcPr>
            <w:tcW w:type="dxa" w:w="1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6(1)(f)</w:t>
            </w:r>
          </w:p>
        </w:tc>
        <w:tc>
          <w:tcPr>
            <w:tcW w:type="dxa" w:w="2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Jogos érdek (LIA szükséges)</w:t>
            </w:r>
          </w:p>
        </w:tc>
        <w:tc>
          <w:tcPr>
            <w:tcW w:type="dxa" w:w="5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IT-biztonsági naplók (korlátozott körben)</w:t>
            </w:r>
          </w:p>
        </w:tc>
      </w:tr>
    </w:tbl>
    <w:p>
      <w:pPr>
        <w:spacing w:after="12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C9860C" w:sz="8"/>
              <w:left w:val="single" w:color="C9860C" w:sz="16"/>
              <w:bottom w:val="single" w:color="C9860C" w:sz="2"/>
              <w:right w:val="single" w:color="C9860C" w:sz="2"/>
            </w:tcBorders>
            <w:shd w:fill="FDF3DC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b/>
                <w:bCs/>
                <w:color w:val="C9860C"/>
                <w:sz w:val="22"/>
                <w:szCs w:val="22"/>
              </w:rPr>
              <w:t xml:space="preserve">Fontos: </w:t>
            </w:r>
            <w:r>
              <w:rPr>
                <w:color w:val="1A1A2E"/>
                <w:sz w:val="22"/>
                <w:szCs w:val="22"/>
              </w:rPr>
              <w:t xml:space="preserve">Közérdekű feladatot ellátó szervnél önkormányzat hivatal a közfeladathoz kapcsolódó adatkezelés főszabályként 6 1 e jogalapra épül. A 6 1 f jogos érdek jogalap csak a kifejezetten közfeladaton kívüli ügyekre alkalmazható korlátozott körben pl vagyonvédelem. Ez az EDPB és a NAIH következetes álláspontja.</w:t>
            </w:r>
          </w:p>
        </w:tc>
      </w:tr>
    </w:tbl>
    <w:p>
      <w:pPr>
        <w:spacing w:after="120" w:before="0"/>
      </w:pPr>
    </w:p>
    <w:p>
      <w:pPr>
        <w:pStyle w:val="Heading2"/>
      </w:pPr>
      <w:r>
        <w:t xml:space="preserve">4.2. Különleges adatok jogalapja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Ahol a Hivatal különleges kategóriájú adatot kezel (GDPR 9. cikk), ott a 6(1) cikk szerinti általános jogalap mellé kötelezően szükséges a 9(2) cikk szerinti különleges jogalap is: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9(2)(b) — munkajogi kötelezettség (pl. munkaképesség-vizsgálat, betegszabadság indoka)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9(2)(h) — egészségügyi célú adatkezelés (foglalkozás-egészségügyi adatok)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9(2)(g) — közérdek (pl. járványügyi adatszolgáltatás)</w:t>
      </w:r>
    </w:p>
    <w:p>
      <w:pPr>
        <w:spacing w:after="120" w:before="0"/>
      </w:pPr>
    </w:p>
    <w:p>
      <w:pPr>
        <w:pStyle w:val="Heading2"/>
      </w:pPr>
      <w:r>
        <w:t xml:space="preserve">4.3. A hozzájárulás kezelése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Ahol a Hivatal hozzájárulást alkalmaz jogalapként, biztosítani kell: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önkéntesség — a hozzájárulás megtagadása nem jár hátrányos következménnyel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tájékozottság — az érintett a hozzájárulás előtt teljes körű tájékoztatást kap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egyértelműség — egyértelmű megerősítő cselekmény szükséges (aktív checkbox, aláírás)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visszavonhatóság — bármikor visszavonható, visszavonás hatása nem visszamenőleges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dokumentálhatóság — a hozzájárulás ténye és tartalma rögzítve és visszakereshető</w:t>
      </w:r>
    </w:p>
    <w:p>
      <w:pPr>
        <w:spacing w:after="120" w:before="0"/>
      </w:pPr>
    </w:p>
    <w:p>
      <w:pPr>
        <w:pStyle w:val="Heading1"/>
      </w:pPr>
      <w:r>
        <w:t xml:space="preserve">5. Adatkezelési tevékenységek és érintetti körök</w:t>
      </w:r>
    </w:p>
    <w:p>
      <w:pPr>
        <w:pStyle w:val="Heading2"/>
      </w:pPr>
      <w:r>
        <w:t xml:space="preserve">5.1. Hatósági és közigazgatási adatkezelés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Hivatal elsődleges feladata a Mötv. 85. § alapján létrehozott KÖH keretein belül az öt tagtelepülés (Tihany, Aszófő, Balatonakali, Balatonudvari, Örvényes) közigazgatási és hatósági ügyeinek intézése. Az erre vonatkozó adatkezelési tevékenységek részletes felsorolása az Adatkezelési Tevékenységek Nyilvántartásában (TKOH-GDPR-R1-001) található.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főbb adatkezelési területek: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anyakönyvi nyilvántartás (anyakönyvi eljárásról szóló 2010. évi I. tv.)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lakcím-nyilvántartás (a polgárok személyi adatainak és lakcímének nyilvántartásáról szóló 1992. évi LXVI. tv.)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szociális ellátások (a szociális igazgatásról és szociális ellátásokról szóló 1993. évi III. tv.)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helyi adók (a helyi adókról szóló 1990. évi C. tv.) — idegenforgalmi adó, helyi iparűzési adó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építésügy, telekkönyv, ingatlan-nyilvántartással összefüggő ügyek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gyermekvédelem (a gyermekek védelméről szóló 1997. évi XXXI. tv.)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hagyatéki ügyek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választási feladatok</w:t>
      </w:r>
    </w:p>
    <w:p>
      <w:pPr>
        <w:spacing w:after="120" w:before="0"/>
      </w:pPr>
    </w:p>
    <w:p>
      <w:pPr>
        <w:pStyle w:val="Heading2"/>
      </w:pPr>
      <w:r>
        <w:t xml:space="preserve">5.2. Munkáltatói adatkezelés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Hivatal mint munkáltató a foglalkoztatottak (köztisztviselők, ügykezelők, fizikai alkalmazottak) vonatkozásában az alábbi célokból kezel személyes adatokat: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közszolgálati jogviszony létesítése, módosítása, megszüntetése (Kttv.)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bérszámfejtés, illetményszámítás, TB-adminisztráció, NAV-bejelentés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teljesítményértékelés, minősítés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képzés, továbbképzés nyilvántartása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munka- és tűzvédelmi, foglalkozás-egészségügyi adatkezelés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céges eszközhasználat nyomon követése (munkaügyi tájékoztatóban részletezve)</w:t>
      </w:r>
    </w:p>
    <w:p>
      <w:pPr>
        <w:spacing w:after="120" w:before="0"/>
      </w:pPr>
    </w:p>
    <w:p>
      <w:pPr>
        <w:pStyle w:val="Heading2"/>
      </w:pPr>
      <w:r>
        <w:t xml:space="preserve">5.3. Kamerarendszer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Hivatal kamerarendszert üzemeltet a hivatal épületeiben és azok közvetlen környezetében. A kamerarendszer önálló adatkezelési tájékoztatóban (TKOH-GDPR-T2-001) kerül szabályozásra. Főbb jellemzők: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Cél: bűnmegelőzés, vagyonvédelem (Vmtv. 2005. évi CXXXIII. tv.)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Érintetti kör: a Hivatal területére belépő természetes személyek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Jogalap: GDPR 6(1)(e) — közhatalmi jogosítvány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Megőrzési idő: 30 nap, felhasználás esetén hosszabb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Kamera helyszínek: [KITÖLTENDŐ — bejárat, folyosó, parkoló stb.]</w:t>
      </w:r>
    </w:p>
    <w:p>
      <w:pPr>
        <w:spacing w:after="120" w:before="0"/>
      </w:pPr>
    </w:p>
    <w:p>
      <w:pPr>
        <w:pStyle w:val="Heading2"/>
      </w:pPr>
      <w:r>
        <w:t xml:space="preserve">5.4. Honlap és sütik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Hivatal honlapjain (tihany.hu, tihanyonkormanyzat.hu) az alábbi adatkezelések folynak: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munkamenet-sütik (session cookie): a GDPR 6(1)(e) jogalapra támaszkodva, feltétlenül szükségesek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kényelmi sütik (siteCookie): 3 hónap, jogalap: 6(1)(a) hozzájárulás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statisztikai sütik (marketingStatistics): GDPR 6(1)(e) — közhatalmi feladat, EU-szerver (Tárhely.Eu), USA-transzfer nem történik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tárhelyszolgáltató: Tárhely.Eu Kft. (1144 Budapest, Ormánság u. 4.) — EU-szerver, nincs USA-transzfer</w:t>
      </w:r>
    </w:p>
    <w:p>
      <w:pPr>
        <w:spacing w:after="120" w:before="0"/>
      </w:pPr>
    </w:p>
    <w:p>
      <w:pPr>
        <w:pStyle w:val="Heading2"/>
      </w:pPr>
      <w:r>
        <w:t xml:space="preserve">5.5. Közösségi médiajelenlét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Hivatal a „Tihany Önkormányzata" Facebook-oldalon (facebook.com) kommunikál az érintettekkel. A Facebook-oldal tekintetében a Hivatal és a Meta Platforms Ireland Ltd. közös adatkezelők a GDPR 26. cikke alapján, a Meta Oldalak-kiegészítő Adatkezelési Feltételei (Page Controller Addendum) szerint.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Az adattovábbítás alapja az USA felé: EU–USA Adatvédelmi Keretrendszer (EU-US DPF, 2023. júl. 10. hatályos).</w:t>
      </w:r>
    </w:p>
    <w:p>
      <w:pPr>
        <w:spacing w:after="120" w:before="0"/>
      </w:pPr>
    </w:p>
    <w:p>
      <w:pPr>
        <w:pStyle w:val="Heading1"/>
      </w:pPr>
      <w:r>
        <w:t xml:space="preserve">6. Adattovábbítás és adatfeldolgozás</w:t>
      </w:r>
    </w:p>
    <w:p>
      <w:pPr>
        <w:pStyle w:val="Heading2"/>
      </w:pPr>
      <w:r>
        <w:t xml:space="preserve">6.1. Belső adattovábbítás — tagönkormányzatok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Hivatal a tagtelepülések önkormányzatai részére adatot továbbít a Mötv. és az ágazati törvények keretei között. A tagönkormányzatok (Tihany, Aszófő, Balatonakali, Balatonudvari, Örvényes képviselő-testületei) önálló adatkezelők, az érintetteket tájékoztatni szükséges az érintetti tájékoztatóban (TKOH-GDPR-T1-001).</w:t>
      </w:r>
    </w:p>
    <w:p>
      <w:pPr>
        <w:pStyle w:val="Heading2"/>
      </w:pPr>
      <w:r>
        <w:t xml:space="preserve">6.2. Önálló adatkezelő hatóságok felé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Jogszabályi kötelezettség alapján (eseti jelleggel, GDPR 6(1)(c)):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NAV — adó- és járulékbejelentések, munkáltatói bejelentések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KSH — statisztikai adatszolgáltatás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NAIH — adatvédelmi hatósági eljárás esetén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Rendőrség, ügyészség, bíróság — hatósági megkeresések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Magyar Államkincstár — bér- és állományjelentések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Belügyminisztérium — anyakönyvi, lakcím nyilvántartási rendszerek</w:t>
      </w:r>
    </w:p>
    <w:p>
      <w:pPr>
        <w:spacing w:after="120" w:before="0"/>
      </w:pPr>
    </w:p>
    <w:p>
      <w:pPr>
        <w:pStyle w:val="Heading2"/>
      </w:pPr>
      <w:r>
        <w:t xml:space="preserve">6.3. Adatfeldolgozók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Hivatal az alábbi adatfeldolgozókkal áll kapcsolatban (GDPR 28. cikk szerinti adatfeldolgozói szerződéssel):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3000"/>
        <w:gridCol w:w="1800"/>
        <w:gridCol w:w="2038"/>
      </w:tblGrid>
      <w:tr>
        <w:trPr>
          <w:tblHeader/>
        </w:trPr>
        <w:tc>
          <w:tcPr>
            <w:tcW w:type="dxa" w:w="2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Adatfeldolgozó neve</w:t>
            </w:r>
          </w:p>
        </w:tc>
        <w:tc>
          <w:tcPr>
            <w:tcW w:type="dxa" w:w="30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Tevékenység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Adattárolás helye</w:t>
            </w:r>
          </w:p>
        </w:tc>
        <w:tc>
          <w:tcPr>
            <w:tcW w:type="dxa" w:w="20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Szerződés</w:t>
            </w:r>
          </w:p>
        </w:tc>
      </w:tr>
      <w:tr>
        <w:tc>
          <w:tcPr>
            <w:tcW w:type="dxa" w:w="2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Tárhely.Eu Kft. (1144 Budapest, Ormánság u. 4.)</w:t>
            </w:r>
          </w:p>
        </w:tc>
        <w:tc>
          <w:tcPr>
            <w:tcW w:type="dxa" w:w="30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Webhosting, e-mail tárhely, domain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Magyarország (EU)</w:t>
            </w:r>
          </w:p>
        </w:tc>
        <w:tc>
          <w:tcPr>
            <w:tcW w:type="dxa" w:w="20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ÁSZF + DPA</w:t>
            </w:r>
          </w:p>
        </w:tc>
      </w:tr>
      <w:tr>
        <w:tc>
          <w:tcPr>
            <w:tcW w:type="dxa" w:w="2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[KITÖLTENDŐ — bérszámfejtő vagy KÖH belső]</w:t>
            </w:r>
          </w:p>
        </w:tc>
        <w:tc>
          <w:tcPr>
            <w:tcW w:type="dxa" w:w="30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Bérszámfejtés, TB-adminisztráció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[KITÖLTENDŐ]</w:t>
            </w:r>
          </w:p>
        </w:tc>
        <w:tc>
          <w:tcPr>
            <w:tcW w:type="dxa" w:w="20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[KITÖLTENDŐ]</w:t>
            </w:r>
          </w:p>
        </w:tc>
      </w:tr>
      <w:tr>
        <w:tc>
          <w:tcPr>
            <w:tcW w:type="dxa" w:w="2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[KITÖLTENDŐ — IT-üzemeltető]</w:t>
            </w:r>
          </w:p>
        </w:tc>
        <w:tc>
          <w:tcPr>
            <w:tcW w:type="dxa" w:w="30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IT-rendszerek üzemeltetése, ASP-rendszer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Magyarország (EU)</w:t>
            </w:r>
          </w:p>
        </w:tc>
        <w:tc>
          <w:tcPr>
            <w:tcW w:type="dxa" w:w="20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[KITÖLTENDŐ]</w:t>
            </w:r>
          </w:p>
        </w:tc>
      </w:tr>
      <w:tr>
        <w:tc>
          <w:tcPr>
            <w:tcW w:type="dxa" w:w="2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[KITÖLTENDŐ — kamerás rendszer karbantartója]</w:t>
            </w:r>
          </w:p>
        </w:tc>
        <w:tc>
          <w:tcPr>
            <w:tcW w:type="dxa" w:w="30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Kamerarendszer karbantartás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[KITÖLTENDŐ]</w:t>
            </w:r>
          </w:p>
        </w:tc>
        <w:tc>
          <w:tcPr>
            <w:tcW w:type="dxa" w:w="20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[KITÖLTENDŐ]</w:t>
            </w:r>
          </w:p>
        </w:tc>
      </w:tr>
      <w:tr>
        <w:tc>
          <w:tcPr>
            <w:tcW w:type="dxa" w:w="2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Meta Platforms Ireland Ltd.</w:t>
            </w:r>
          </w:p>
        </w:tc>
        <w:tc>
          <w:tcPr>
            <w:tcW w:type="dxa" w:w="30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Facebook oldal (közös adatkezelő, nem adatfeldolgozó)</w:t>
            </w:r>
          </w:p>
        </w:tc>
        <w:tc>
          <w:tcPr>
            <w:tcW w:type="dxa" w:w="1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USA (EU-US DPF)</w:t>
            </w:r>
          </w:p>
        </w:tc>
        <w:tc>
          <w:tcPr>
            <w:tcW w:type="dxa" w:w="20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Page Controller Addendum</w:t>
            </w:r>
          </w:p>
        </w:tc>
      </w:tr>
    </w:tbl>
    <w:p>
      <w:pPr>
        <w:spacing w:after="120" w:before="0"/>
      </w:pPr>
    </w:p>
    <w:p>
      <w:pPr>
        <w:pStyle w:val="Heading2"/>
      </w:pPr>
      <w:r>
        <w:t xml:space="preserve">6.4. Harmadik országba történő adattovábbítás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Hivatal azonosított USA-irányú adattovábbítási csatornái: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600"/>
        <w:gridCol w:w="2600"/>
        <w:gridCol w:w="2238"/>
      </w:tblGrid>
      <w:tr>
        <w:trPr>
          <w:tblHeader/>
        </w:trP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Fogadó fél</w:t>
            </w:r>
          </w:p>
        </w:tc>
        <w:tc>
          <w:tcPr>
            <w:tcW w:type="dxa" w:w="2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Cél</w:t>
            </w:r>
          </w:p>
        </w:tc>
        <w:tc>
          <w:tcPr>
            <w:tcW w:type="dxa" w:w="2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Jogalap/garancia</w:t>
            </w:r>
          </w:p>
        </w:tc>
        <w:tc>
          <w:tcPr>
            <w:tcW w:type="dxa" w:w="22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Megjegyzés</w:t>
            </w:r>
          </w:p>
        </w:tc>
      </w:tr>
      <w:tr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Meta Platforms Ireland Ltd.</w:t>
            </w:r>
          </w:p>
        </w:tc>
        <w:tc>
          <w:tcPr>
            <w:tcW w:type="dxa" w:w="2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Facebook oldalkezelés</w:t>
            </w:r>
          </w:p>
        </w:tc>
        <w:tc>
          <w:tcPr>
            <w:tcW w:type="dxa" w:w="2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EU-US DPF (2023/1795/EU)</w:t>
            </w:r>
          </w:p>
        </w:tc>
        <w:tc>
          <w:tcPr>
            <w:tcW w:type="dxa" w:w="22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Közös adatkezelő</w:t>
            </w:r>
          </w:p>
        </w:tc>
      </w:tr>
    </w:tbl>
    <w:p>
      <w:pPr>
        <w:spacing w:after="120" w:before="0"/>
      </w:pP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tárhelyszolgáltatás (Tárhely.Eu) és a feltételezett e-mail infrastruktúra magyarországi szervereken fut — ezen csatornán USA-transzfer nem történik.</w:t>
      </w:r>
    </w:p>
    <w:p>
      <w:pPr>
        <w:spacing w:after="120" w:before="0"/>
      </w:pPr>
    </w:p>
    <w:p>
      <w:pPr>
        <w:pStyle w:val="Heading1"/>
      </w:pPr>
      <w:r>
        <w:t xml:space="preserve">7. Az érintett jogai és azok érvényesítési rendje</w:t>
      </w:r>
    </w:p>
    <w:p>
      <w:pPr>
        <w:pStyle w:val="Heading2"/>
      </w:pPr>
      <w:r>
        <w:t xml:space="preserve">7.1. Az érintetti jogok összefoglalása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4600"/>
        <w:gridCol w:w="2638"/>
      </w:tblGrid>
      <w:tr>
        <w:trPr>
          <w:tblHeader/>
        </w:trPr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Jog</w:t>
            </w:r>
          </w:p>
        </w:tc>
        <w:tc>
          <w:tcPr>
            <w:tcW w:type="dxa" w:w="4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Tartalom</w:t>
            </w:r>
          </w:p>
        </w:tc>
        <w:tc>
          <w:tcPr>
            <w:tcW w:type="dxa" w:w="2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GDPR cikk</w:t>
            </w:r>
          </w:p>
        </w:tc>
      </w:tr>
      <w:tr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Tájékoztatáshoz való jog</w:t>
            </w:r>
          </w:p>
        </w:tc>
        <w:tc>
          <w:tcPr>
            <w:tcW w:type="dxa" w:w="4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Adatkezelés megkezdése előtt tájékoztatás az adatkezelőről, célról, jogalapról, megőrzési időről, jogokról</w:t>
            </w:r>
          </w:p>
        </w:tc>
        <w:tc>
          <w:tcPr>
            <w:tcW w:type="dxa" w:w="2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13–14. cikk</w:t>
            </w:r>
          </w:p>
        </w:tc>
      </w:tr>
      <w:tr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Hozzáférési jog</w:t>
            </w:r>
          </w:p>
        </w:tc>
        <w:tc>
          <w:tcPr>
            <w:tcW w:type="dxa" w:w="4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Megerősítés arról, hogy kezeli-e az adatait; a kezelt adatok másolata</w:t>
            </w:r>
          </w:p>
        </w:tc>
        <w:tc>
          <w:tcPr>
            <w:tcW w:type="dxa" w:w="2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15. cikk</w:t>
            </w:r>
          </w:p>
        </w:tc>
      </w:tr>
      <w:tr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Helyesbítési jog</w:t>
            </w:r>
          </w:p>
        </w:tc>
        <w:tc>
          <w:tcPr>
            <w:tcW w:type="dxa" w:w="4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Pontatlan adatok haladéktalan helyesbítése; hiányos adatok kiegészítése</w:t>
            </w:r>
          </w:p>
        </w:tc>
        <w:tc>
          <w:tcPr>
            <w:tcW w:type="dxa" w:w="2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16. cikk</w:t>
            </w:r>
          </w:p>
        </w:tc>
      </w:tr>
      <w:tr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Törlési jog</w:t>
            </w:r>
          </w:p>
        </w:tc>
        <w:tc>
          <w:tcPr>
            <w:tcW w:type="dxa" w:w="4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Adatok törlése (ha az adatkezelés jogszerűtlen, cél megvalósult stb.) — közfeladatnál korlátozott</w:t>
            </w:r>
          </w:p>
        </w:tc>
        <w:tc>
          <w:tcPr>
            <w:tcW w:type="dxa" w:w="2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17. cikk</w:t>
            </w:r>
          </w:p>
        </w:tc>
      </w:tr>
      <w:tr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Korlátozási jog</w:t>
            </w:r>
          </w:p>
        </w:tc>
        <w:tc>
          <w:tcPr>
            <w:tcW w:type="dxa" w:w="4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Adatkezelés átmeneti felfüggesztése kérelem vizsgálata idején</w:t>
            </w:r>
          </w:p>
        </w:tc>
        <w:tc>
          <w:tcPr>
            <w:tcW w:type="dxa" w:w="2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18. cikk</w:t>
            </w:r>
          </w:p>
        </w:tc>
      </w:tr>
      <w:tr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Adathordozhatóság</w:t>
            </w:r>
          </w:p>
        </w:tc>
        <w:tc>
          <w:tcPr>
            <w:tcW w:type="dxa" w:w="4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Gép által olvasható formátumú adatkiadás (csak 6(1)(a) vagy (b) alapú kezelésnél)</w:t>
            </w:r>
          </w:p>
        </w:tc>
        <w:tc>
          <w:tcPr>
            <w:tcW w:type="dxa" w:w="2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20. cikk</w:t>
            </w:r>
          </w:p>
        </w:tc>
      </w:tr>
      <w:tr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Tiltakozási jog</w:t>
            </w:r>
          </w:p>
        </w:tc>
        <w:tc>
          <w:tcPr>
            <w:tcW w:type="dxa" w:w="4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Tiltakozás 6(1)(e) vagy (f) alapú kezelés ellen — méltányolható ok alapján</w:t>
            </w:r>
          </w:p>
        </w:tc>
        <w:tc>
          <w:tcPr>
            <w:tcW w:type="dxa" w:w="2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21. cikk</w:t>
            </w:r>
          </w:p>
        </w:tc>
      </w:tr>
      <w:tr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Jogorvoslati jog</w:t>
            </w:r>
          </w:p>
        </w:tc>
        <w:tc>
          <w:tcPr>
            <w:tcW w:type="dxa" w:w="46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Panasz a NAIH-hoz; bírósági jogorvoslat</w:t>
            </w:r>
          </w:p>
        </w:tc>
        <w:tc>
          <w:tcPr>
            <w:tcW w:type="dxa" w:w="2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77–79. cikk</w:t>
            </w:r>
          </w:p>
        </w:tc>
      </w:tr>
    </w:tbl>
    <w:p>
      <w:pPr>
        <w:spacing w:after="120" w:before="0"/>
      </w:pPr>
    </w:p>
    <w:p>
      <w:pPr>
        <w:pStyle w:val="Heading2"/>
      </w:pPr>
      <w:r>
        <w:t xml:space="preserve">7.2. Érintetti kérelmek kezelésének folyamata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Az érintett kérelmet nyújt be írásban (e-mailben, postán) a DPO-n keresztül vagy közvetlenül a Hivatal részére.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A Hivatal az ügyintéző haladéktalanul (legkésőbb 3 munkanapon belül) rögzíti a kérelmet az incidensek/kérelmek naplójában (M5 sablon).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Az ügyintéző 5 munkanapon belül értékeli az érintetti igényt és az érintett kategóriáját, bevonva a DPO-t.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A Hivatal a kérelem beérkezésétől számított 1 hónapon belül érdemben válaszol. Szükség esetén (összetettség) a határidő 2 hónappal meghosszabbítható — erről az érintettet értesíteni kell.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Megalapozatlan vagy túlzó kérelem esetén ésszerű adminisztratív díj szabható ki, vagy a kérelem megtagadható — ez a DPO és a vezető együttes döntése.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A választ írásban, magyar nyelven kell megadni. Ha a kérelem elektronikus úton érkezett, az e-mail útján küldött válasz is elegendő.</w:t>
      </w:r>
    </w:p>
    <w:p>
      <w:pPr>
        <w:spacing w:after="120" w:before="0"/>
      </w:pPr>
    </w:p>
    <w:p>
      <w:pPr>
        <w:pStyle w:val="Heading2"/>
      </w:pPr>
      <w:r>
        <w:t xml:space="preserve">7.3. Jogorvoslat és panaszkezelés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Az érintett panasszal élhet: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438"/>
      </w:tblGrid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Nemzeti Adatvédelmi és Információszabadság Hatóság (NAIH)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1055 Budapest, Falk Miksa utca 9-11. | Tel: +36 1 391 1400 | ugyfelszolgalat@naih.hu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E8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0D4F6C"/>
                <w:sz w:val="22"/>
                <w:szCs w:val="22"/>
              </w:rPr>
              <w:t xml:space="preserve">Bíróság</w:t>
            </w:r>
          </w:p>
        </w:tc>
        <w:tc>
          <w:tcPr>
            <w:tcW w:type="dxa" w:w="64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2"/>
                <w:szCs w:val="22"/>
              </w:rPr>
              <w:t xml:space="preserve">Polgári perben — a Hivatal székhelye szerint illetékes törvényszéknél (Veszprémi Törvényszék)</w:t>
            </w:r>
          </w:p>
        </w:tc>
      </w:tr>
    </w:tbl>
    <w:p>
      <w:pPr>
        <w:spacing w:after="120" w:before="0"/>
      </w:pPr>
    </w:p>
    <w:p>
      <w:pPr>
        <w:pStyle w:val="Heading1"/>
      </w:pPr>
      <w:r>
        <w:t xml:space="preserve">8. Adatmegőrzési és törlési rend</w:t>
      </w:r>
    </w:p>
    <w:p>
      <w:pPr>
        <w:pStyle w:val="Heading2"/>
      </w:pPr>
      <w:r>
        <w:t xml:space="preserve">8.1. Megőrzési idők jogszabályi háttere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megőrzési időket elsősorban a vonatkozó jogszabályok határozzák meg. Az önkormányzati iratok megőrzési idejét a 78/2012. (XII. 28.) BM rendelet (az önkormányzati hivatalok egységes irattári terve) szabályozza.</w:t>
      </w:r>
    </w:p>
    <w:p>
      <w:pPr>
        <w:spacing w:after="60" w:before="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2200"/>
        <w:gridCol w:w="4238"/>
      </w:tblGrid>
      <w:tr>
        <w:trPr>
          <w:tblHeader/>
        </w:trP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Adatkategória / iratfajta</w:t>
            </w:r>
          </w:p>
        </w:tc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Megőrzési idő</w:t>
            </w:r>
          </w:p>
        </w:tc>
        <w:tc>
          <w:tcPr>
            <w:tcW w:type="dxa" w:w="42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Jogszabályi alap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Hatósági ügyek iratai (általános)</w:t>
            </w:r>
          </w:p>
        </w:tc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Irattári terv szerint (általában 5–10 év)</w:t>
            </w:r>
          </w:p>
        </w:tc>
        <w:tc>
          <w:tcPr>
            <w:tcW w:type="dxa" w:w="42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78/2012. (XII. 28.) BM r.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Anyakönyvi iratok</w:t>
            </w:r>
          </w:p>
        </w:tc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Örökre megőrzendő</w:t>
            </w:r>
          </w:p>
        </w:tc>
        <w:tc>
          <w:tcPr>
            <w:tcW w:type="dxa" w:w="42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2010. évi I. tv.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Számviteli bizonylat</w:t>
            </w:r>
          </w:p>
        </w:tc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8 év</w:t>
            </w:r>
          </w:p>
        </w:tc>
        <w:tc>
          <w:tcPr>
            <w:tcW w:type="dxa" w:w="42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2000. évi C. tv. 169. §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Munkaügyi iratok, személyi anyag</w:t>
            </w:r>
          </w:p>
        </w:tc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50 év (nyugdíjbiztosítás)</w:t>
            </w:r>
          </w:p>
        </w:tc>
        <w:tc>
          <w:tcPr>
            <w:tcW w:type="dxa" w:w="42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Mt. + Tbj.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Bérügyi iratok</w:t>
            </w:r>
          </w:p>
        </w:tc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50 év</w:t>
            </w:r>
          </w:p>
        </w:tc>
        <w:tc>
          <w:tcPr>
            <w:tcW w:type="dxa" w:w="42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Tbj. + MÁK adatszolgáltatás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Szociális ügy iratai</w:t>
            </w:r>
          </w:p>
        </w:tc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5–10 év (jogviszony lezárásától)</w:t>
            </w:r>
          </w:p>
        </w:tc>
        <w:tc>
          <w:tcPr>
            <w:tcW w:type="dxa" w:w="42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78/2012. BM r.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Kamerafelvétel</w:t>
            </w:r>
          </w:p>
        </w:tc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Felhasználás hiányában 30 nap</w:t>
            </w:r>
          </w:p>
        </w:tc>
        <w:tc>
          <w:tcPr>
            <w:tcW w:type="dxa" w:w="42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Vmtv. 31. § (4) bek.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Munkamenet süti</w:t>
            </w:r>
          </w:p>
        </w:tc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Munkamenet végéig (böngésző bezárásig)</w:t>
            </w:r>
          </w:p>
        </w:tc>
        <w:tc>
          <w:tcPr>
            <w:tcW w:type="dxa" w:w="42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5(1)(e)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Kényelmi süti (siteCookie)</w:t>
            </w:r>
          </w:p>
        </w:tc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3 hónap</w:t>
            </w:r>
          </w:p>
        </w:tc>
        <w:tc>
          <w:tcPr>
            <w:tcW w:type="dxa" w:w="42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5(1)(e)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Hozzájárulás dokumentuma</w:t>
            </w:r>
          </w:p>
        </w:tc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 hozzájárulás visszavonásáig + 5 év (elévülés)</w:t>
            </w:r>
          </w:p>
        </w:tc>
        <w:tc>
          <w:tcPr>
            <w:tcW w:type="dxa" w:w="42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7(1)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Adatvédelmi incidensnapló</w:t>
            </w:r>
          </w:p>
        </w:tc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Legalább 3 év az incidens lezárástól</w:t>
            </w:r>
          </w:p>
        </w:tc>
        <w:tc>
          <w:tcPr>
            <w:tcW w:type="dxa" w:w="42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33(5)</w:t>
            </w:r>
          </w:p>
        </w:tc>
      </w:tr>
      <w:tr>
        <w:tc>
          <w:tcPr>
            <w:tcW w:type="dxa" w:w="3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Érintetti kérelmek iratai</w:t>
            </w:r>
          </w:p>
        </w:tc>
        <w:tc>
          <w:tcPr>
            <w:tcW w:type="dxa" w:w="2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Legalább 3 év a válasz keltétől</w:t>
            </w:r>
          </w:p>
        </w:tc>
        <w:tc>
          <w:tcPr>
            <w:tcW w:type="dxa" w:w="42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GDPR 5(2)</w:t>
            </w:r>
          </w:p>
        </w:tc>
      </w:tr>
    </w:tbl>
    <w:p>
      <w:pPr>
        <w:spacing w:after="120" w:before="0"/>
      </w:pPr>
    </w:p>
    <w:p>
      <w:pPr>
        <w:pStyle w:val="Heading2"/>
      </w:pPr>
      <w:r>
        <w:t xml:space="preserve">8.2. Adattörlés végrehajtása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megőrzési idő lejártával az adatok törlése vagy megsemmisítése az alábbiak szerint történik: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Elektronikus adatok: biztonságos törlés (NIST SP 800-88 szint szerint), az IT-üzemeltető bevonásával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Papíralapú iratok: iratmegsemmisítő berendezéssel (DIN 66399 P-4 szint) vagy külső iratmegsemmisítő szolgáltatóval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A megsemmisítésről selejtezési-megsemmisítési jegyzőkönyvet kell felvenni</w:t>
      </w:r>
    </w:p>
    <w:p>
      <w:pPr>
        <w:spacing w:after="120" w:before="0"/>
      </w:pPr>
    </w:p>
    <w:p>
      <w:pPr>
        <w:pStyle w:val="Heading1"/>
      </w:pPr>
      <w:r>
        <w:t xml:space="preserve">9. Adatbiztonsági intézkedések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GDPR 32. cikke alapján a Hivatal az adatkezelés jellegére, hatókörére, körülményeire és céljaira, valamint a természetes személyek jogaira és szabadságaira jelentett változó valószínűségű és súlyosságú kockázatra tekintettel megfelelő technikai és szervezési intézkedéseket alkalmaz.</w:t>
      </w:r>
    </w:p>
    <w:p>
      <w:pPr>
        <w:spacing w:after="120" w:before="0"/>
      </w:pPr>
    </w:p>
    <w:p>
      <w:pPr>
        <w:pStyle w:val="Heading2"/>
      </w:pPr>
      <w:r>
        <w:t xml:space="preserve">9.1. Technikai intézkedések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Hálózati védelem: tűzfal, VPN az önkormányzati ASP rendszerhez, hálózati szegmentálás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Hozzáférés-kezelés: jogosultsági szintek (role-based access control), rendszeres jogosultsági felülvizsgálat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Jelszókezelés: legalább 8 karakteres, összetett jelszó, kötelező csere 90 naponta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Titkosítás: titkosított e-mail csatornák, különleges kategóriájú dokumentumok titkosítva tárolva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Napló (log): a rendszerekbe való belépési és kilépési kísérletek, adatmódosítások naplózása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Backup: rendszeres mentés (napi automatikus), mentések titkosítva, off-site tárolás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Vírusvédelem: naprakész víruskereső szoftver minden munkaállomáson</w:t>
      </w:r>
    </w:p>
    <w:p>
      <w:pPr>
        <w:spacing w:after="120" w:before="0"/>
      </w:pPr>
    </w:p>
    <w:p>
      <w:pPr>
        <w:pStyle w:val="Heading2"/>
      </w:pPr>
      <w:r>
        <w:t xml:space="preserve">9.2. Fizikai intézkedések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Irattár: zárt, hozzáférés-korlátozott helyiség; belépési napló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Papíralapú iratok: zárt szekrény, íróasztal végén elzárás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Nyomtatás: érzékeny dokumentumok csak jelen lévő személy felügyelete mellett nyomtathatók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Képernyővédő: automatikus 5 perc inaktivitás után aktiválódik, jelszóval védett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Kiszolgáló helyiség: [KITÖLTENDŐ — szerver szoba megléte/elhelyezése]</w:t>
      </w:r>
    </w:p>
    <w:p>
      <w:pPr>
        <w:spacing w:after="120" w:before="0"/>
      </w:pPr>
    </w:p>
    <w:p>
      <w:pPr>
        <w:pStyle w:val="Heading2"/>
      </w:pPr>
      <w:r>
        <w:t xml:space="preserve">9.3. Szervezési intézkedések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Jelen Szabályzat és mellékletei kötelező érvényűek a Hivatal minden foglalkoztatottjára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Titoktartási nyilatkozat: minden foglalkoztatott aláírja a T4 mellékletének részeként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Adatvédelmi oktatás: évente legalább egyszer kötelező (DPO vezeti)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Vendégek: a Hivatal területén tartózkodó külső személyek adatkezelésének szabályai a recepcióján kifüggesztve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BYOD (saját eszköz): tilos a Hivatal adatrendszereihez munkavállaló privát eszközéről hozzáférni — kivéve ha az IT-részleg ezt engedélyezte és megfelelő MDM-védelemmel ellátott</w:t>
      </w:r>
    </w:p>
    <w:p>
      <w:pPr>
        <w:spacing w:after="120" w:before="0"/>
      </w:pPr>
    </w:p>
    <w:p>
      <w:pPr>
        <w:pStyle w:val="Heading1"/>
      </w:pPr>
      <w:r>
        <w:t xml:space="preserve">10. Adatvédelmi incidenskezelés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Az adatvédelmi incidenskezelés részletes szabályait a Hivatal Adatvédelmi Eljárásrendje (TKOH-GDPR-F2-001) tartalmazza. Jelen fejezet összefoglalja a főbb határidőket és elveket.</w:t>
      </w:r>
    </w:p>
    <w:p>
      <w:pPr>
        <w:spacing w:after="120" w:before="0"/>
      </w:pPr>
    </w:p>
    <w:p>
      <w:pPr>
        <w:pStyle w:val="Heading2"/>
      </w:pPr>
      <w:r>
        <w:t xml:space="preserve">10.1. Azonnali teendők incidens gyanúja esetén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Az incidenst észlelő foglalkoztatott haladéktalanul jelenti a közvetlen felettesének és a DPO-nak.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A jelzés módja: személyesen, telefonon (+36 30 952 8838) vagy e-mailben (zsuzsanna@crespo.hu).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A DPO 24 órán belül megkezdi az incidens értékelését.</w:t>
      </w:r>
    </w:p>
    <w:p>
      <w:pPr>
        <w:spacing w:after="120" w:before="0"/>
      </w:pPr>
    </w:p>
    <w:p>
      <w:pPr>
        <w:pStyle w:val="Heading2"/>
      </w:pPr>
      <w:r>
        <w:t xml:space="preserve">10.2. NAIH-bejelentési kötelezettség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Ha az incidens valószínűsíthetően kockázatot jelent a természetes személyek jogaira: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72 órán belül be kell jelenteni a NAIH-nak (naih.hu/bejelentes, vagy postán: 1363 Budapest, Pf. 9.)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Ha a bejelentés 72 óra után történik, indokolni kell a késedelmet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Magas kockázatú incidensek esetén az érintetteket is értesíteni kell indokolatlan késedelem nélkül</w:t>
      </w:r>
    </w:p>
    <w:p>
      <w:pPr>
        <w:spacing w:after="120" w:before="0"/>
      </w:pPr>
    </w:p>
    <w:p>
      <w:pPr>
        <w:pStyle w:val="Heading2"/>
      </w:pPr>
      <w:r>
        <w:t xml:space="preserve">10.3. Incidensnapló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Minden incidenst (a bejelentési kötelezettség alá esőket és az alá nem esőket egyaránt) az incidensnapló-sablonban (TKOH-GDPR-M8-001) rögzíteni kell. A napló legalább 3 évig megőrzendő.</w:t>
      </w:r>
    </w:p>
    <w:p>
      <w:pPr>
        <w:spacing w:after="120" w:before="0"/>
      </w:pPr>
    </w:p>
    <w:p>
      <w:pPr>
        <w:pStyle w:val="Heading1"/>
      </w:pPr>
      <w:r>
        <w:t xml:space="preserve">11. Adatfeldolgozói szerződések és DPA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Minden olyan harmadik féllel, aki a Hivatal nevében személyes adatokat kezel (adatfeldolgozó, GDPR 28. cikk), kötelező adatfeldolgozói szerződést (DPA) kötni, mielőtt az adatfeldolgozás megkezdődik.</w:t>
      </w:r>
    </w:p>
    <w:p>
      <w:pPr>
        <w:spacing w:after="120" w:before="0"/>
      </w:pPr>
    </w:p>
    <w:p>
      <w:pPr>
        <w:pStyle w:val="Heading2"/>
      </w:pPr>
      <w:r>
        <w:t xml:space="preserve">11.1. DPA kötelező tartalmi elemei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az adatkezelés tárgya, időtartama, jellege és célja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a személyes adatok típusa és az érintettek kategóriái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az adatkezelő kötelezettségei és jogai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titoktartás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adatbiztonsági intézkedések (GDPR 32. cikk)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al-adatfeldolgozók igénybevételének feltételei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az érintetti jogok érvényesítésében való együttműködés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incidens esetén értesítési kötelezettség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törlés vagy visszaszolgáltatás az adatkezelési jogviszony megszűnésekor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az adatkezelő ellenőrzési joga</w:t>
      </w:r>
    </w:p>
    <w:p>
      <w:pPr>
        <w:spacing w:after="120" w:before="0"/>
      </w:pPr>
    </w:p>
    <w:p>
      <w:pPr>
        <w:pStyle w:val="Heading2"/>
      </w:pPr>
      <w:r>
        <w:t xml:space="preserve">11.2. Al-adatfeldolgozók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Az adatfeldolgozó csak akkor vonhat be al-adatfeldolgozót, ha ehhez a Hivatal előzetesen írásban hozzájárult. Az al-adatfeldolgozóra ugyanolyan adatvédelmi kötelezettségek vonatkoznak, mint az adatfeldolgozóra. Az adatfeldolgozó az al-adatfeldolgozóért teljes felelősséggel tartozik.</w:t>
      </w:r>
    </w:p>
    <w:p>
      <w:pPr>
        <w:spacing w:after="120" w:before="0"/>
      </w:pPr>
    </w:p>
    <w:p>
      <w:pPr>
        <w:pStyle w:val="Heading1"/>
      </w:pPr>
      <w:r>
        <w:t xml:space="preserve">12. Adatvédelmi hatásvizsgálat (DPIA)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GDPR 35. cikke alapján adatvédelmi hatásvizsgálatot kell végezni, ha az adatkezelés valószínűsíthetően magas kockázattal jár a természetes személyek jogaira nézve.</w:t>
      </w:r>
    </w:p>
    <w:p>
      <w:pPr>
        <w:spacing w:after="120" w:before="0"/>
      </w:pPr>
    </w:p>
    <w:p>
      <w:pPr>
        <w:pStyle w:val="Heading2"/>
      </w:pPr>
      <w:r>
        <w:t xml:space="preserve">12.1. DPIA szükségességi küszöb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DPIA szükséges különösen, ha: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különleges adatokat (GDPR 9. cikk) nagy léptékben kezelnek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nyilvánosan hozzáférhető helyek nagy léptékű, rendszeres megfigyelése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automatizált döntéshozatal az érintettekre jelentős hatással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biometrikus adat azonosítás céljából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új technológia bevezetése személyes adatok kezeléséhez</w:t>
      </w:r>
    </w:p>
    <w:p>
      <w:pPr>
        <w:spacing w:after="120" w:before="0"/>
      </w:pPr>
    </w:p>
    <w:p>
      <w:pPr>
        <w:pStyle w:val="Heading2"/>
      </w:pPr>
      <w:r>
        <w:t xml:space="preserve">12.2. DPIA a Hivatal jelenlegi tevékenységeinél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Hivatal aktuálisan az alábbi területeken vizsgálja a DPIA szükségességét: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Kamerarendszer — valószínűsíthetően nem éri el a DPIA küszöbét (nem közterület, nem nagy léptékű), de a DPO elvégzi az előzetes szükségességi vizsgálatot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b w:val="false"/>
          <w:bCs w:val="false"/>
          <w:color w:val="1A1A2E"/>
          <w:sz w:val="22"/>
          <w:szCs w:val="22"/>
        </w:rPr>
        <w:t xml:space="preserve">Céges eszközhasználat-monitoring — Mt. 11/A. § alapján megfelelő, DPIA valószínűleg nem szükséges</w:t>
      </w:r>
    </w:p>
    <w:p>
      <w:pPr>
        <w:spacing w:after="120" w:before="0"/>
      </w:pPr>
    </w:p>
    <w:p>
      <w:pPr>
        <w:pStyle w:val="Heading1"/>
      </w:pPr>
      <w:r>
        <w:t xml:space="preserve">13. Vegyes és záró rendelkezések</w:t>
      </w:r>
    </w:p>
    <w:p>
      <w:pPr>
        <w:pStyle w:val="Heading2"/>
      </w:pPr>
      <w:r>
        <w:t xml:space="preserve">13.1. Hatályba lépés és korábbi szabályzatok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Jelen Szabályzat 2026. május 14. napján lép hatályba. Hatályba lépésével egyidejűleg hatályát veszti a Hivatal korábbi, Adatvédelmi és Adatbiztonsági Szabályzata (v1.0, [KITÖLTENDŐ — korábbi verzió kelte]).</w:t>
      </w:r>
    </w:p>
    <w:p>
      <w:pPr>
        <w:pStyle w:val="Heading2"/>
      </w:pPr>
      <w:r>
        <w:t xml:space="preserve">13.2. Felülvizsgálat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Szabályzatot legalább 2 évente, illetve jogszabályi változás, jelentős szervezeti változás vagy NAIH iránymutatás esetén soron kívül felül kell vizsgálni. A felülvizsgálatot a DPO koordinálja.</w:t>
      </w:r>
    </w:p>
    <w:p>
      <w:pPr>
        <w:pStyle w:val="Heading2"/>
      </w:pPr>
      <w:r>
        <w:t xml:space="preserve">13.3. Kötelező megismerés</w:t>
      </w:r>
    </w:p>
    <w:p>
      <w:pPr>
        <w:keepNext w:val="false"/>
        <w:spacing w:after="80" w:before="0"/>
        <w:jc w:val="both"/>
      </w:pPr>
      <w:r>
        <w:rPr>
          <w:rFonts w:ascii="Calibri" w:cs="Calibri" w:eastAsia="Calibri" w:hAnsi="Calibri"/>
          <w:b w:val="false"/>
          <w:bCs w:val="false"/>
          <w:color w:val="1A1A2E"/>
          <w:sz w:val="22"/>
          <w:szCs w:val="22"/>
        </w:rPr>
        <w:t xml:space="preserve">A Hivatal minden foglalkoztatottja köteles a Szabályzatot megismerni, az abban foglaltakat betartani. Az új foglalkoztatottak a munkavégzés megkezdése előtt kötelesek a Szabályzatot elolvasni és megismerési nyilatkozatot aláírni (TKOH-GDPR-M1-001 sablon).</w:t>
      </w:r>
    </w:p>
    <w:p>
      <w:pPr>
        <w:pStyle w:val="Heading2"/>
      </w:pPr>
      <w:r>
        <w:t xml:space="preserve">13.4. Kapcsolódó dokumentumok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3800"/>
        <w:gridCol w:w="3838"/>
      </w:tblGrid>
      <w:tr>
        <w:trPr>
          <w:tblHeader/>
        </w:trPr>
        <w:tc>
          <w:tcPr>
            <w:tcW w:type="dxa" w:w="20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Dok. ID</w:t>
            </w:r>
          </w:p>
        </w:tc>
        <w:tc>
          <w:tcPr>
            <w:tcW w:type="dxa" w:w="3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Dokumentum neve</w:t>
            </w:r>
          </w:p>
        </w:tc>
        <w:tc>
          <w:tcPr>
            <w:tcW w:type="dxa" w:w="3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Kapcsolat</w:t>
            </w:r>
          </w:p>
        </w:tc>
      </w:tr>
      <w:tr>
        <w:tc>
          <w:tcPr>
            <w:tcW w:type="dxa" w:w="20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TKOH-GDPR-F2-001</w:t>
            </w:r>
          </w:p>
        </w:tc>
        <w:tc>
          <w:tcPr>
            <w:tcW w:type="dxa" w:w="3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Adatvédelmi Eljárásrend</w:t>
            </w:r>
          </w:p>
        </w:tc>
        <w:tc>
          <w:tcPr>
            <w:tcW w:type="dxa" w:w="3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Érintetti jogok + incidens részletes folyamata</w:t>
            </w:r>
          </w:p>
        </w:tc>
      </w:tr>
      <w:tr>
        <w:tc>
          <w:tcPr>
            <w:tcW w:type="dxa" w:w="20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TKOH-GDPR-R1-001</w:t>
            </w:r>
          </w:p>
        </w:tc>
        <w:tc>
          <w:tcPr>
            <w:tcW w:type="dxa" w:w="3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ROPA</w:t>
            </w:r>
          </w:p>
        </w:tc>
        <w:tc>
          <w:tcPr>
            <w:tcW w:type="dxa" w:w="3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Adatkezelési tevékenységek nyilvántartása</w:t>
            </w:r>
          </w:p>
        </w:tc>
      </w:tr>
      <w:tr>
        <w:tc>
          <w:tcPr>
            <w:tcW w:type="dxa" w:w="20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TKOH-GDPR-T1-001</w:t>
            </w:r>
          </w:p>
        </w:tc>
        <w:tc>
          <w:tcPr>
            <w:tcW w:type="dxa" w:w="3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Ügyfél/ügyintézési tájékoztató</w:t>
            </w:r>
          </w:p>
        </w:tc>
        <w:tc>
          <w:tcPr>
            <w:tcW w:type="dxa" w:w="3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Érintetti tájékoztatás</w:t>
            </w:r>
          </w:p>
        </w:tc>
      </w:tr>
      <w:tr>
        <w:tc>
          <w:tcPr>
            <w:tcW w:type="dxa" w:w="20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TKOH-GDPR-T2-001</w:t>
            </w:r>
          </w:p>
        </w:tc>
        <w:tc>
          <w:tcPr>
            <w:tcW w:type="dxa" w:w="3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Kamera-tájékoztató</w:t>
            </w:r>
          </w:p>
        </w:tc>
        <w:tc>
          <w:tcPr>
            <w:tcW w:type="dxa" w:w="3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CCTV-specifikus tájékoztatás</w:t>
            </w:r>
          </w:p>
        </w:tc>
      </w:tr>
      <w:tr>
        <w:tc>
          <w:tcPr>
            <w:tcW w:type="dxa" w:w="20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TKOH-GDPR-T3-001</w:t>
            </w:r>
          </w:p>
        </w:tc>
        <w:tc>
          <w:tcPr>
            <w:tcW w:type="dxa" w:w="3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Honlap/süti tájékoztató</w:t>
            </w:r>
          </w:p>
        </w:tc>
        <w:tc>
          <w:tcPr>
            <w:tcW w:type="dxa" w:w="3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Online adatkezelés</w:t>
            </w:r>
          </w:p>
        </w:tc>
      </w:tr>
      <w:tr>
        <w:tc>
          <w:tcPr>
            <w:tcW w:type="dxa" w:w="20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TKOH-GDPR-T4-001</w:t>
            </w:r>
          </w:p>
        </w:tc>
        <w:tc>
          <w:tcPr>
            <w:tcW w:type="dxa" w:w="3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Munkavállalói tájékoztató</w:t>
            </w:r>
          </w:p>
        </w:tc>
        <w:tc>
          <w:tcPr>
            <w:tcW w:type="dxa" w:w="3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Foglalkoztatottak adatkezelése</w:t>
            </w:r>
          </w:p>
        </w:tc>
      </w:tr>
      <w:tr>
        <w:tc>
          <w:tcPr>
            <w:tcW w:type="dxa" w:w="20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TKOH-GDPR-M-001</w:t>
            </w:r>
          </w:p>
        </w:tc>
        <w:tc>
          <w:tcPr>
            <w:tcW w:type="dxa" w:w="38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Iratminta-csomag (M1–M8)</w:t>
            </w:r>
          </w:p>
        </w:tc>
        <w:tc>
          <w:tcPr>
            <w:tcW w:type="dxa" w:w="38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Érintetti kérelmek, incidens, hozzájárulás sablonok</w:t>
            </w:r>
          </w:p>
        </w:tc>
      </w:tr>
    </w:tbl>
    <w:p>
      <w:pPr>
        <w:spacing w:after="120" w:before="0"/>
      </w:pPr>
    </w:p>
    <w:p>
      <w:pPr>
        <w:pStyle w:val="Heading1"/>
      </w:pPr>
      <w:r>
        <w:t xml:space="preserve">Jóváhagyás és aláírás</w:t>
      </w:r>
    </w:p>
    <w:p>
      <w:pPr>
        <w:spacing w:after="120" w:before="0"/>
      </w:pPr>
    </w:p>
    <w:p>
      <w:pPr>
        <w:spacing w:after="80" w:before="0"/>
      </w:pPr>
      <w:r>
        <w:rPr>
          <w:color w:val="4A6572"/>
          <w:sz w:val="22"/>
          <w:szCs w:val="22"/>
        </w:rPr>
        <w:t xml:space="preserve">Kelt: 2026. május 14.</w:t>
      </w:r>
    </w:p>
    <w:tbl>
      <w:tblPr>
        <w:tblW w:type="dxa" w:w="955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32"/>
        <w:gridCol w:w="80"/>
        <w:gridCol w:w="3132"/>
        <w:gridCol w:w="80"/>
        <w:gridCol w:w="3132"/>
      </w:tblGrid>
      <w:tr>
        <w:tc>
          <w:tcPr>
            <w:tcW w:type="dxa" w:w="31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40"/>
              <w:bottom w:type="dxa" w:w="40"/>
              <w:right w:type="dxa" w:w="40"/>
            </w:tcMar>
          </w:tcPr>
          <w:p>
            <w:pPr>
              <w:pBdr>
                <w:bottom w:val="single" w:color="0D4F6C" w:sz="4" w:space="4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31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40"/>
              <w:bottom w:type="dxa" w:w="40"/>
              <w:right w:type="dxa" w:w="40"/>
            </w:tcMar>
          </w:tcPr>
          <w:p>
            <w:pPr>
              <w:pBdr>
                <w:bottom w:val="single" w:color="0D4F6C" w:sz="4" w:space="4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31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40"/>
              <w:bottom w:type="dxa" w:w="40"/>
              <w:right w:type="dxa" w:w="40"/>
            </w:tcMar>
          </w:tcPr>
          <w:p>
            <w:pPr>
              <w:pBdr>
                <w:bottom w:val="single" w:color="0D4F6C" w:sz="4" w:space="4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31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0"/>
              <w:bottom w:type="dxa" w:w="40"/>
              <w:right w:type="dxa" w:w="40"/>
            </w:tcMar>
          </w:tcPr>
          <w:p>
            <w:pPr>
              <w:jc w:val="center"/>
            </w:pPr>
            <w:r>
              <w:rPr>
                <w:b/>
                <w:bCs/>
                <w:color w:val="0D4F6C"/>
                <w:sz w:val="20"/>
                <w:szCs w:val="20"/>
              </w:rPr>
              <w:t xml:space="preserve">Jurics Tamás</w:t>
            </w:r>
          </w:p>
          <w:p>
            <w:pPr>
              <w:spacing w:after="0" w:before="0"/>
              <w:jc w:val="center"/>
            </w:pPr>
            <w:r>
              <w:rPr>
                <w:color w:val="4A6572"/>
                <w:sz w:val="20"/>
                <w:szCs w:val="20"/>
              </w:rPr>
              <w:t xml:space="preserve">jegyző, TKÖH</w:t>
            </w:r>
          </w:p>
        </w:tc>
        <w:tc>
          <w:tcPr>
            <w:tcW w:type="dxa" w:w="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31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0"/>
              <w:bottom w:type="dxa" w:w="40"/>
              <w:right w:type="dxa" w:w="40"/>
            </w:tcMar>
          </w:tcPr>
          <w:p>
            <w:pPr>
              <w:jc w:val="center"/>
            </w:pPr>
            <w:r>
              <w:rPr>
                <w:b/>
                <w:bCs/>
                <w:color w:val="0D4F6C"/>
                <w:sz w:val="20"/>
                <w:szCs w:val="20"/>
              </w:rPr>
              <w:t xml:space="preserve">Dr. Crespo Zsuzsanna Ágnes</w:t>
            </w:r>
          </w:p>
          <w:p>
            <w:pPr>
              <w:spacing w:after="0" w:before="0"/>
              <w:jc w:val="center"/>
            </w:pPr>
            <w:r>
              <w:rPr>
                <w:color w:val="4A6572"/>
                <w:sz w:val="20"/>
                <w:szCs w:val="20"/>
              </w:rPr>
              <w:t xml:space="preserve">adatvédelmi tisztviselő (DPO)</w:t>
            </w:r>
          </w:p>
        </w:tc>
        <w:tc>
          <w:tcPr>
            <w:tcW w:type="dxa" w:w="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/>
        </w:tc>
        <w:tc>
          <w:tcPr>
            <w:tcW w:type="dxa" w:w="313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40"/>
              <w:bottom w:type="dxa" w:w="40"/>
              <w:right w:type="dxa" w:w="40"/>
            </w:tcMar>
          </w:tcPr>
          <w:p>
            <w:pPr>
              <w:jc w:val="center"/>
            </w:pPr>
            <w:r>
              <w:rPr>
                <w:b/>
                <w:bCs/>
                <w:color w:val="0D4F6C"/>
                <w:sz w:val="20"/>
                <w:szCs w:val="20"/>
              </w:rPr>
              <w:t xml:space="preserve">[KITÖLTENDŐ]</w:t>
            </w:r>
          </w:p>
          <w:p>
            <w:pPr>
              <w:spacing w:after="0" w:before="0"/>
              <w:jc w:val="center"/>
            </w:pPr>
            <w:r>
              <w:rPr>
                <w:color w:val="4A6572"/>
                <w:sz w:val="20"/>
                <w:szCs w:val="20"/>
              </w:rPr>
              <w:t xml:space="preserve">tagönkormányzat képviselője</w:t>
            </w:r>
          </w:p>
        </w:tc>
      </w:tr>
    </w:tbl>
    <w:p>
      <w:pPr>
        <w:spacing w:after="120" w:before="0"/>
      </w:pPr>
    </w:p>
    <w:p>
      <w:pPr>
        <w:pStyle w:val="Heading1"/>
      </w:pPr>
      <w:r>
        <w:t xml:space="preserve">Verziókövetési tábla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400"/>
        <w:gridCol w:w="3638"/>
        <w:gridCol w:w="2400"/>
      </w:tblGrid>
      <w:tr>
        <w:trPr>
          <w:tblHeader/>
        </w:trPr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Verzió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Dátum</w:t>
            </w:r>
          </w:p>
        </w:tc>
        <w:tc>
          <w:tcPr>
            <w:tcW w:type="dxa" w:w="3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Változás tartalma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0D4F6C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Jóváhagyta</w:t>
            </w:r>
          </w:p>
        </w:tc>
      </w:tr>
      <w:tr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v1.0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[KITÖLTENDŐ — korábbi dátum]</w:t>
            </w:r>
          </w:p>
        </w:tc>
        <w:tc>
          <w:tcPr>
            <w:tcW w:type="dxa" w:w="3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Eredeti szabályzat kiadása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[KITÖLTENDŐ]</w:t>
            </w:r>
          </w:p>
        </w:tc>
      </w:tr>
      <w:tr>
        <w:tc>
          <w:tcPr>
            <w:tcW w:type="dxa" w:w="12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v2.0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2026. május 14.</w:t>
            </w:r>
          </w:p>
        </w:tc>
        <w:tc>
          <w:tcPr>
            <w:tcW w:type="dxa" w:w="3638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Teljes felülvizsgálat és újraírás — GDPR/Infotv. naprakész hivatkozások, DNS-alapú infrastruktúra-ellenőrzés, Meta közös adatkezelő beépítve</w:t>
            </w:r>
          </w:p>
        </w:tc>
        <w:tc>
          <w:tcPr>
            <w:tcW w:type="dxa" w:w="2400"/>
            <w:tcBorders>
              <w:top w:val="single" w:color="BDD8E3" w:sz="4"/>
              <w:left w:val="single" w:color="BDD8E3" w:sz="4"/>
              <w:bottom w:val="single" w:color="BDD8E3" w:sz="4"/>
              <w:right w:val="single" w:color="BDD8E3" w:sz="4"/>
            </w:tcBorders>
            <w:shd w:fill="F2F8FB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Dr. Crespo Zsuzsanna Ágnes</w:t>
            </w:r>
          </w:p>
        </w:tc>
      </w:tr>
    </w:tbl>
    <w:sectPr>
      <w:headerReference w:type="default" r:id="rId9"/>
      <w:footerReference w:type="default" r:id="rId10"/>
      <w:type w:val="nextPage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860C" w:sz="4" w:space="4"/>
      </w:pBdr>
      <w:tabs>
        <w:tab w:val="center" w:pos="4819"/>
        <w:tab w:val="right" w:pos="9638"/>
      </w:tabs>
      <w:spacing w:after="0" w:before="80"/>
    </w:pPr>
    <w:r>
      <w:rPr>
        <w:b/>
        <w:bCs/>
        <w:color w:val="C9860C"/>
        <w:sz w:val="20"/>
        <w:szCs w:val="20"/>
      </w:rPr>
      <w:t xml:space="preserve">TKÖH • </w:t>
    </w:r>
    <w:r>
      <w:rPr>
        <w:color w:val="4A6572"/>
        <w:sz w:val="20"/>
        <w:szCs w:val="20"/>
      </w:rPr>
      <w:t xml:space="preserve">TKOH-GDPR-F1-001</w:t>
    </w:r>
    <w:r>
      <w:rPr>
        <w:sz w:val="20"/>
        <w:szCs w:val="20"/>
      </w:rPr>
      <w:t xml:space="preserve">	</w:t>
    </w:r>
    <w:r>
      <w:rPr>
        <w:color w:val="4A6572"/>
        <w:sz w:val="20"/>
        <w:szCs w:val="20"/>
      </w:rPr>
      <w:fldChar w:fldCharType="begin"/>
      <w:instrText xml:space="preserve">PAGE</w:instrText>
      <w:fldChar w:fldCharType="separate"/>
      <w:fldChar w:fldCharType="end"/>
    </w:r>
    <w:r>
      <w:rPr>
        <w:color w:val="4A6572"/>
        <w:sz w:val="20"/>
        <w:szCs w:val="20"/>
      </w:rPr>
      <w:t xml:space="preserve"> / </w:t>
    </w:r>
    <w:r>
      <w:rPr>
        <w:color w:val="4A6572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>
      <w:rPr>
        <w:sz w:val="20"/>
        <w:szCs w:val="20"/>
      </w:rPr>
      <w:t xml:space="preserve">	</w:t>
    </w:r>
    <w:r>
      <w:rPr>
        <w:color w:val="BDD8E3"/>
        <w:sz w:val="16"/>
        <w:szCs w:val="16"/>
      </w:rPr>
      <w:t xml:space="preserve">1055 Budapest, Falk Miksa utca 9-11.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860C" w:sz="4" w:space="4"/>
      </w:pBdr>
      <w:tabs>
        <w:tab w:val="center" w:pos="4819"/>
        <w:tab w:val="right" w:pos="9638"/>
      </w:tabs>
      <w:spacing w:after="0" w:before="80"/>
    </w:pPr>
    <w:r>
      <w:rPr>
        <w:b/>
        <w:bCs/>
        <w:color w:val="C9860C"/>
        <w:sz w:val="20"/>
        <w:szCs w:val="20"/>
      </w:rPr>
      <w:t xml:space="preserve">TKÖH • </w:t>
    </w:r>
    <w:r>
      <w:rPr>
        <w:color w:val="4A6572"/>
        <w:sz w:val="20"/>
        <w:szCs w:val="20"/>
      </w:rPr>
      <w:t xml:space="preserve">TKOH-GDPR-F1-001</w:t>
    </w:r>
    <w:r>
      <w:rPr>
        <w:sz w:val="20"/>
        <w:szCs w:val="20"/>
      </w:rPr>
      <w:t xml:space="preserve">	</w:t>
    </w:r>
    <w:r>
      <w:rPr>
        <w:color w:val="4A6572"/>
        <w:sz w:val="20"/>
        <w:szCs w:val="20"/>
      </w:rPr>
      <w:fldChar w:fldCharType="begin"/>
      <w:instrText xml:space="preserve">PAGE</w:instrText>
      <w:fldChar w:fldCharType="separate"/>
      <w:fldChar w:fldCharType="end"/>
    </w:r>
    <w:r>
      <w:rPr>
        <w:color w:val="4A6572"/>
        <w:sz w:val="20"/>
        <w:szCs w:val="20"/>
      </w:rPr>
      <w:t xml:space="preserve"> / </w:t>
    </w:r>
    <w:r>
      <w:rPr>
        <w:color w:val="4A6572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>
      <w:rPr>
        <w:sz w:val="20"/>
        <w:szCs w:val="20"/>
      </w:rPr>
      <w:t xml:space="preserve">	</w:t>
    </w:r>
    <w:r>
      <w:rPr>
        <w:color w:val="BDD8E3"/>
        <w:sz w:val="16"/>
        <w:szCs w:val="16"/>
      </w:rPr>
      <w:t xml:space="preserve">1055 Budapest, Falk Miksa utca 9-11.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D4F6C" w:sz="6" w:space="4"/>
      </w:pBdr>
      <w:tabs>
        <w:tab w:val="right" w:pos="9638"/>
      </w:tabs>
      <w:spacing w:after="120" w:before="0"/>
    </w:pPr>
    <w:r>
      <w:rPr>
        <w:rFonts w:ascii="Calibri" w:cs="Calibri" w:eastAsia="Calibri" w:hAnsi="Calibri"/>
        <w:b/>
        <w:bCs/>
        <w:color w:val="0D4F6C"/>
        <w:sz w:val="20"/>
        <w:szCs w:val="20"/>
      </w:rPr>
      <w:t xml:space="preserve">Tihanyi Közös Önkormányzati Hivatal</w:t>
    </w:r>
    <w:r>
      <w:rPr>
        <w:sz w:val="20"/>
        <w:szCs w:val="20"/>
      </w:rPr>
      <w:t xml:space="preserve">	</w:t>
    </w:r>
    <w:r>
      <w:rPr>
        <w:rFonts w:ascii="Calibri" w:cs="Calibri" w:eastAsia="Calibri" w:hAnsi="Calibri"/>
        <w:color w:val="4A6572"/>
        <w:sz w:val="20"/>
        <w:szCs w:val="20"/>
      </w:rPr>
      <w:t xml:space="preserve">TKOH-GDPR-F1-001 • Adatkezelési és Adatbiztonsági Szabályzat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40" w:hanging="360"/>
      </w:pPr>
    </w:lvl>
    <w:lvl w:ilvl="1" w15:tentative="1">
      <w:start w:val="1"/>
      <w:numFmt w:val="bullet"/>
      <w:lvlText w:val="◦"/>
      <w:lvlJc w:val="left"/>
      <w:pPr>
        <w:ind w:left="108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  <w:lvl w:ilvl="1" w15:tentative="1">
      <w:start w:val="1"/>
      <w:numFmt w:val="lowerLetter"/>
      <w:lvlText w:val="%2)"/>
      <w:lvlJc w:val="left"/>
      <w:pPr>
        <w:ind w:left="10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keepLines/>
      <w:pBdr>
        <w:bottom w:val="single" w:color="C9860C" w:sz="6" w:space="4"/>
      </w:pBdr>
      <w:spacing w:after="120" w:before="360"/>
      <w:outlineLvl w:val="0"/>
    </w:pPr>
    <w:rPr>
      <w:rFonts w:ascii="Calibri" w:cs="Calibri" w:eastAsia="Calibri" w:hAnsi="Calibri"/>
      <w:b/>
      <w:bCs/>
      <w:color w:val="0D4F6C"/>
      <w:sz w:val="36"/>
      <w:szCs w:val="36"/>
    </w:rPr>
  </w:style>
  <w:style w:type="paragraph" w:styleId="Heading2">
    <w:name w:val="Heading 2"/>
    <w:basedOn w:val="Normal"/>
    <w:next w:val="Normal"/>
    <w:qFormat/>
    <w:pPr>
      <w:keepNext/>
      <w:keepLines/>
      <w:spacing w:after="80" w:before="280"/>
      <w:outlineLvl w:val="1"/>
    </w:pPr>
    <w:rPr>
      <w:rFonts w:ascii="Calibri" w:cs="Calibri" w:eastAsia="Calibri" w:hAnsi="Calibri"/>
      <w:b/>
      <w:bCs/>
      <w:color w:val="0D4F6C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keepLines/>
      <w:spacing w:after="60" w:before="200"/>
      <w:outlineLvl w:val="2"/>
    </w:pPr>
    <w:rPr>
      <w:rFonts w:ascii="Calibri" w:cs="Calibri" w:eastAsia="Calibri" w:hAnsi="Calibri"/>
      <w:b/>
      <w:bCs/>
      <w:color w:val="1A7A9A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word/_rels/header2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2026-05-14T18:52:32.234Z</dcterms:created>
  <dcterms:modified xsi:type="dcterms:W3CDTF">2026-05-14T18:52:32.251Z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