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240"/>
              <w:left w:type="dxa" w:w="400"/>
              <w:bottom w:type="dxa" w:w="240"/>
              <w:right w:type="dxa" w:w="4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TIHANYI KÖZÖS ÖNKORMÁNYZATI HIVATAL</w:t>
            </w:r>
          </w:p>
          <w:p>
            <w:pPr>
              <w:spacing w:before="80"/>
              <w:jc w:val="left"/>
            </w:pPr>
            <w:r>
              <w:rPr>
                <w:rFonts w:ascii="Calibri" w:cs="Calibri" w:eastAsia="Calibri" w:hAnsi="Calibri"/>
                <w:color w:val="B0D4E3"/>
                <w:sz w:val="20"/>
                <w:szCs w:val="20"/>
              </w:rPr>
              <w:t xml:space="preserve">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2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TKOH-GDPR-F2-001</w:t>
            </w:r>
          </w:p>
        </w:tc>
      </w:tr>
    </w:tbl>
    <w:p>
      <w:pPr>
        <w:spacing w:after="160" w:before="0"/>
      </w:pP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0D4F6C"/>
          <w:sz w:val="44"/>
          <w:szCs w:val="44"/>
        </w:rPr>
        <w:t xml:space="preserve">Adatvédelmi Eljárásrend</w:t>
      </w:r>
    </w:p>
    <w:p>
      <w:pPr>
        <w:spacing w:after="120" w:before="0"/>
      </w:pPr>
      <w:r>
        <w:rPr>
          <w:rFonts w:ascii="Calibri" w:cs="Calibri" w:eastAsia="Calibri" w:hAnsi="Calibri"/>
          <w:color w:val="1A7A9A"/>
          <w:sz w:val="28"/>
          <w:szCs w:val="28"/>
        </w:rPr>
        <w:t xml:space="preserve">Érintetti jogok kezelése és adatvédelmi incidenskezelés</w:t>
      </w:r>
    </w:p>
    <w:p>
      <w:pPr>
        <w:spacing w:after="120" w:before="0"/>
      </w:pPr>
    </w:p>
    <w:tbl>
      <w:tblPr>
        <w:tblW w:type="dxa" w:w="578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2"/>
      </w:tblGrid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v1.0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Készült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2026. május 14.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Kibocsátó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Lektor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(DPO)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c>
          <w:tcPr>
            <w:tcW w:type="dxa" w:w="57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7A9A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  <w:tc>
          <w:tcPr>
            <w:tcW w:type="dxa" w:w="38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 xml:space="preserve">1. Bevezető rendelkezések</w:t>
      </w:r>
    </w:p>
    <w:p>
      <w:pPr>
        <w:pStyle w:val="Heading2"/>
      </w:pPr>
      <w:r>
        <w:t xml:space="preserve">1.1. Cél és hatály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Jelen Adatvédelmi Eljárásrend (a továbbiakban: Eljárásrend) a Tihanyi Közös Önkormányzati Hivatal (TKÖH) adatvédelmi folyamatait szabályozza, különös tekintettel az érintetti jogok gyakorlásának kezelésére és az adatvédelmi incidensek kezelésére. Az Eljárásrend az Adatkezelési és Adatbiztonsági Szabályzat (TKOH-GDPR-F1-001) végrehajtási dokumentuma.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Hatálya kiterjed a Hivatal valamennyi foglalkoztatottjára és a Hivatal nevében eljáró személyekre.</w:t>
      </w:r>
    </w:p>
    <w:p>
      <w:pPr>
        <w:spacing w:after="120" w:before="0"/>
      </w:pPr>
    </w:p>
    <w:p>
      <w:pPr>
        <w:pStyle w:val="Heading2"/>
      </w:pPr>
      <w:r>
        <w:t xml:space="preserve">1.2. Kapcsolódó jogszabályok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EU 2016/679 rendelet (GDPR) — különösen 12–23. cikk (érintetti jogok) és 33–34. cikk (incidenskezelés)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2011. évi CXII. tv. (Infotv.) — 14–23. §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2016. évi CL. tv. (Ákr.) — hatósági eljárás keretei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NAIH 2018/4. sz. ajánlás az incidensbejelentésről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EDPB 1/2021. sz. iránymutatás — személyes adatok megsértésének kezeléséről</w:t>
      </w:r>
    </w:p>
    <w:p>
      <w:pPr>
        <w:spacing w:after="120" w:before="0"/>
      </w:pPr>
    </w:p>
    <w:p>
      <w:pPr>
        <w:pStyle w:val="Heading2"/>
      </w:pPr>
      <w:r>
        <w:t xml:space="preserve">1.3. Kapcsolattartók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Adatvédelmi tisztviselő (DPO)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— zsuzsanna@crespo.hu — +36 30 952 8838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TKÖH vezetője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Jurics Tamás, jegyző — onkormanyzat@tihany.hu — +36 87 538 030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IT kapcsolattartó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IT-üzemeltető kapcsolattartója]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2. Érintetti jogok kezelésének eljárása</w:t>
      </w:r>
    </w:p>
    <w:p>
      <w:pPr>
        <w:pStyle w:val="Heading2"/>
      </w:pPr>
      <w:r>
        <w:t xml:space="preserve">2.1. Az érintetti kérelmek típusai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4200"/>
        <w:gridCol w:w="3838"/>
      </w:tblGrid>
      <w:tr>
        <w:trPr>
          <w:tblHeader/>
        </w:trP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GDPR cikk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 neve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Tipikus kérelem formája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15. cikk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Hozzáférési jog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Milyen adataimat kezeli a Hivatal?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16. cikk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Helyesbítési jog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Kérem az X adatom javítását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17. cikk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Törlési jog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Kérem adataim törlését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18. cikk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Korlátozási jog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Kérem az adatkezelés korlátozását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20. cikk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Adathordozhatóság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Kérem adataim géppel olvasható formában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21. cikk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Tiltakozási jog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Tiltakozom az adatkezelés ellen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7(3). cikk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 visszavonása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Visszavonom hozzájárulásomat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2.2. Érintetti kérelem beérkezésétől a válaszig — folyamat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b/>
                <w:bCs/>
                <w:color w:val="0D4F6C"/>
                <w:sz w:val="22"/>
                <w:szCs w:val="22"/>
              </w:rPr>
              <w:t xml:space="preserve">Főszabály: 1 hónapon belül érdemi válasz. Meghosszabbítható 2 hónapra (összetett eset) — erről az érintettet értesíteni kell.</w:t>
            </w:r>
          </w:p>
          <w:p>
            <w:pPr>
              <w:spacing w:after="0" w:before="0"/>
            </w:pPr>
            <w:r>
              <w:rPr>
                <w:color w:val="1A1A2E"/>
                <w:sz w:val="22"/>
                <w:szCs w:val="22"/>
              </w:rPr>
              <w:t xml:space="preserve">Megalapozatlan / túlzó kérelem esetén: ésszerű díj kiszabható vagy a kérelem megtagadható (GDPR 12(5) cikk).</w:t>
            </w:r>
          </w:p>
        </w:tc>
      </w:tr>
    </w:tbl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600"/>
        <w:gridCol w:w="4200"/>
        <w:gridCol w:w="3238"/>
      </w:tblGrid>
      <w:tr>
        <w:trPr>
          <w:tblHeader/>
        </w:trP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Lép.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Határidő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Teendő</w:t>
            </w:r>
          </w:p>
        </w:tc>
        <w:tc>
          <w:tcPr>
            <w:tcW w:type="dxa" w:w="3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Felelős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Azonnal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Kérelem beérkezés rögzítése (M5 sablon, dátum + csatorna)</w:t>
            </w:r>
          </w:p>
        </w:tc>
        <w:tc>
          <w:tcPr>
            <w:tcW w:type="dxa" w:w="3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 ügyintéző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 munkanapon belül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DPO értesítése (e-mailben vagy telefonon)</w:t>
            </w:r>
          </w:p>
        </w:tc>
        <w:tc>
          <w:tcPr>
            <w:tcW w:type="dxa" w:w="3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 ügyintéző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 munkanapon belül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Személyazonosság ellenőrzése (szükség esetén igazolás kérése)</w:t>
            </w:r>
          </w:p>
        </w:tc>
        <w:tc>
          <w:tcPr>
            <w:tcW w:type="dxa" w:w="3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Ügyintéző + DPO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4.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 munkanapon belül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Érdemi értékelés: jogalap, érintetti kategória, kérelem megalapozottsága</w:t>
            </w:r>
          </w:p>
        </w:tc>
        <w:tc>
          <w:tcPr>
            <w:tcW w:type="dxa" w:w="3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DPO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 hónapon belül (kérelem beérkezésétől)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Érdemi válasz írásban, magyar nyelven</w:t>
            </w:r>
          </w:p>
        </w:tc>
        <w:tc>
          <w:tcPr>
            <w:tcW w:type="dxa" w:w="3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Ügyintéző + DPO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Válasszal egyidőben</w:t>
            </w:r>
          </w:p>
        </w:tc>
        <w:tc>
          <w:tcPr>
            <w:tcW w:type="dxa" w:w="4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Kérelem és válasz archiválása az incidensnapló rendszerben (legalább 3 év)</w:t>
            </w:r>
          </w:p>
        </w:tc>
        <w:tc>
          <w:tcPr>
            <w:tcW w:type="dxa" w:w="3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Ügyintéző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2.3. Különleges helyzetek</w:t>
      </w:r>
    </w:p>
    <w:p>
      <w:pPr>
        <w:pStyle w:val="Heading3"/>
      </w:pPr>
      <w:r>
        <w:t xml:space="preserve">2.3.1. Hozzáférési kérelem — felvételmegtekintés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Kamerarendszer esetén az érintett csak saját magáról készült felvételt tekinthet meg, más személyek arca/adatai kitakarandók (technikai lehetőség szerint). A megtekintés előtt személyazonosságot igazolni kell. A megtekintésről jegyzőkönyv készül (M6 sablon).</w:t>
      </w:r>
    </w:p>
    <w:p>
      <w:pPr>
        <w:spacing w:after="120" w:before="0"/>
      </w:pPr>
    </w:p>
    <w:p>
      <w:pPr>
        <w:pStyle w:val="Heading3"/>
      </w:pPr>
      <w:r>
        <w:t xml:space="preserve">2.3.2. Törlési kérelem — közfeladatnál korlátozott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Közfeladat ellátása során kezelt adatoknál (GDPR 6(1)(e)) a törlési jog korlátozott. Az érintett törlési kérelme esetén a DPO mérlegeli: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fennáll-e jogszabályi megőrzési kötelezettség (irattári terv, Ákr., stb.)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szükséges-e az adat jogi igények érvényesítéséhez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ha egyik sem: az adatot 30 napon belül törölni kell, és az érintettet értesíteni</w:t>
      </w:r>
    </w:p>
    <w:p>
      <w:pPr>
        <w:spacing w:after="120" w:before="0"/>
      </w:pPr>
    </w:p>
    <w:p>
      <w:pPr>
        <w:pStyle w:val="Heading3"/>
      </w:pPr>
      <w:r>
        <w:t xml:space="preserve">2.3.3. Hozzájárulás visszavonása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Ha az adatkezelés hozzájáruláson alapul (pl. kényelmi süti, fotó közösségi oldalon), a visszavonást haladéktalanul teljesíteni kell. A visszavonás nem érinti a visszavonás előtti adatkezelés jogszerűségét.</w:t>
      </w:r>
    </w:p>
    <w:p>
      <w:pPr>
        <w:spacing w:after="120" w:before="0"/>
      </w:pPr>
    </w:p>
    <w:p>
      <w:pPr>
        <w:pStyle w:val="Heading1"/>
      </w:pPr>
      <w:r>
        <w:t xml:space="preserve">3. Adatvédelmi incidenskezelés</w:t>
      </w:r>
    </w:p>
    <w:p>
      <w:pPr>
        <w:pStyle w:val="Heading2"/>
      </w:pPr>
      <w:r>
        <w:t xml:space="preserve">3.1. Az adatvédelmi incidens fogalma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Adatvédelmi incidens: a biztonság sérülése, amely a kezelt személyes adatok véletlen vagy jogellenes megsemmisítéséhez, elvesztéséhez, megváltoztatásához, jogosulatlan nyilvánosságra hozatalához vagy az azokhoz való jogosulatlan hozzáféréshez vezet (GDPR 4. cikk 12. pont).</w:t>
      </w:r>
    </w:p>
    <w:p>
      <w:pPr>
        <w:spacing w:after="120" w:before="0"/>
      </w:pPr>
    </w:p>
    <w:p>
      <w:pPr>
        <w:pStyle w:val="Heading2"/>
      </w:pPr>
      <w:r>
        <w:t xml:space="preserve">3.2. Incidenstípusok és példák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200"/>
        <w:gridCol w:w="4838"/>
      </w:tblGrid>
      <w:tr>
        <w:trPr>
          <w:tblHeader/>
        </w:trP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Típus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Leírás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Példák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Bizalmasság sérülése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Jogosulatlan hozzáférés vagy nyilvánosságra hozatal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Iratok rossz személynek küldve; e-mail nem a megfelelő címzettnek; adatlopás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Integritás sérülése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Adatok jogosulatlan módosítása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Nyilvántartási rekord megváltoztatása; adatbázis manipulálása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Elérhetőség sérülése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Adatokhoz való hozzáférés elvesztése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Szerver meghibásodás, backup hiánya; zsarolóvírus; elveszett USB; tűzkár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3.3. Azonnali teendők incidens észlelésekor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C0000" w:sz="8"/>
              <w:left w:val="single" w:color="CC0000" w:sz="16"/>
              <w:bottom w:val="single" w:color="CC0000" w:sz="2"/>
              <w:right w:val="single" w:color="CC0000" w:sz="2"/>
            </w:tcBorders>
            <w:shd w:fill="FFF5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b/>
                <w:bCs/>
                <w:color w:val="CC0000"/>
                <w:sz w:val="24"/>
                <w:szCs w:val="24"/>
              </w:rPr>
              <w:t xml:space="preserve">⚠ AZONNALI LÉPÉSEK (0–24 óra)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Az incidenst észlelő személy AZONNAL jelenti közvetlen felettesének és a DPO-nak (telefonon: +36 30 952 8838).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Az incidens további terjedésének megakadályozása: jogosultságok felfüggesztése, eszköz izolálása, ha szükséges.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Az észlelt tények, időpontok és körülmények dokumentálása (M8 incidens-bejelentő sablon).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NEM szabad: az incidenst eltitkolni, az érintett adatokat módosítani vagy törölni az incidens kivizsgálása előtt.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3.4. A DPO incidens-értékelési folyamata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800"/>
        <w:gridCol w:w="4400"/>
        <w:gridCol w:w="2838"/>
      </w:tblGrid>
      <w:tr>
        <w:trPr>
          <w:tblHeader/>
        </w:trP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Lép.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Határidő</w:t>
            </w:r>
          </w:p>
        </w:tc>
        <w:tc>
          <w:tcPr>
            <w:tcW w:type="dxa" w:w="4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Teendő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Felelős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1.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0–4 óra</w:t>
            </w:r>
          </w:p>
        </w:tc>
        <w:tc>
          <w:tcPr>
            <w:tcW w:type="dxa" w:w="4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Incidens bejelentés fogadása, előzetes kockázatbecslés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DPO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2.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4–24 óra</w:t>
            </w:r>
          </w:p>
        </w:tc>
        <w:tc>
          <w:tcPr>
            <w:tcW w:type="dxa" w:w="4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Tények összegyűjtése: ki, mikor, mit, milyen adatokat érint, hány fő érintett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DPO + ügyintéző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3.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24–72 óra</w:t>
            </w:r>
          </w:p>
        </w:tc>
        <w:tc>
          <w:tcPr>
            <w:tcW w:type="dxa" w:w="4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Kockázatszint meghatározása (alacsony / közepes / magas / nagyon magas)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DPO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4.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72 órán belül (incidens észlelésétől)</w:t>
            </w:r>
          </w:p>
        </w:tc>
        <w:tc>
          <w:tcPr>
            <w:tcW w:type="dxa" w:w="4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 kockázat: NAIH-bejelentés (naih.hu/bejelentes). Ha nincs kockázat: belső dokumentálás.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DPO + vezető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5.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Magas kockázat esetén: indokolatlan késedelem nélkül</w:t>
            </w:r>
          </w:p>
        </w:tc>
        <w:tc>
          <w:tcPr>
            <w:tcW w:type="dxa" w:w="4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Érintett(ek) értesítése — ha a kockázat valószínűsíthetően magas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DPO + ügyintéző</w:t>
            </w:r>
          </w:p>
        </w:tc>
      </w:tr>
      <w:tr>
        <w:tc>
          <w:tcPr>
            <w:tcW w:type="dxa" w:w="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6.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30 napon belül</w:t>
            </w:r>
          </w:p>
        </w:tc>
        <w:tc>
          <w:tcPr>
            <w:tcW w:type="dxa" w:w="4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Incidens lezárása: orvoslás, megelőző intézkedések, napló lezárása</w:t>
            </w:r>
          </w:p>
        </w:tc>
        <w:tc>
          <w:tcPr>
            <w:tcW w:type="dxa" w:w="2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DPO + vezető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3.5. Kockázatszint-meghatározás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400"/>
        <w:gridCol w:w="2800"/>
        <w:gridCol w:w="2638"/>
      </w:tblGrid>
      <w:tr>
        <w:trPr>
          <w:tblHeader/>
        </w:trP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Kockázat szintje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Kritériumok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NAIH-bejelentés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Érintett értesítés</w:t>
            </w:r>
          </w:p>
        </w:tc>
      </w:tr>
      <w:t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🟢 Alacsony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Titkosított adat elveszett kulcs nélkül; nyilvánosan elérhető adatok minimális köre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 szükséges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 szükséges</w:t>
            </w:r>
          </w:p>
        </w:tc>
      </w:tr>
      <w:t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🟡 Közepes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Belső adatszivárgás korlátozott hatókörrel; nem különleges adat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— 72 órán belül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Általában NEM</w:t>
            </w:r>
          </w:p>
        </w:tc>
      </w:tr>
      <w:t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🔴 Magas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Különleges adat; nagy számú érintett; pénzügyi kár lehetséges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— 72 órán belül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— haladéktalanul</w:t>
            </w:r>
          </w:p>
        </w:tc>
      </w:tr>
      <w:tr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⛔ Nagyon magas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Azonosítástolvajlás; tömeges különleges adat; gyermek érintett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— azonnal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— azonnali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3.6. NAIH-bejelentés tartalma (GDPR 33. cikk)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NAIH-nak bejelentett incidensnek az alábbi adatokat kell tartalmaznia: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incidens természetének leírása (érintett adatok kategóriái, érintett személyek száma)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adatvédelmi tisztviselő neve és elérhetőségei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incidens valószínűsíthető következményei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incidens orvoslására tett vagy tervezett intézkedések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Ha a bejelentés 72 óra után történik, a késedelem okát is meg kell jelölni.</w:t>
      </w:r>
    </w:p>
    <w:p>
      <w:pPr>
        <w:spacing w:after="120" w:before="0"/>
      </w:pPr>
    </w:p>
    <w:p>
      <w:pPr>
        <w:pStyle w:val="Heading2"/>
      </w:pPr>
      <w:r>
        <w:t xml:space="preserve">3.7. Az érintett értesítésének tartalma (GDPR 34. cikk)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Magas kockázatú incidens esetén az érintettnek szóló értesítés tartalmazza: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adatvédelmi tisztviselő elérhetőségeit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incidens valószínűsíthető következményeinek leírását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érintett által teendő lépések (pl. jelszó csere, bankszámla figyelés)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Hivatal által az incidens orvoslására tett intézkedések leírását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értesítés nem szükséges, ha: titkosított adat + kulcs nem kompromittált; azonnali intézkedés megakadályozta a kockázatot; aránytalanul nagy erőfeszítést igényelne (ekkor közzétételre kerül).</w:t>
      </w:r>
    </w:p>
    <w:p>
      <w:pPr>
        <w:spacing w:after="120" w:before="0"/>
      </w:pPr>
    </w:p>
    <w:p>
      <w:pPr>
        <w:pStyle w:val="Heading2"/>
      </w:pPr>
      <w:r>
        <w:t xml:space="preserve">3.8. Konkrét incidensesetek — teendők összefoglalója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800"/>
        <w:gridCol w:w="2400"/>
        <w:gridCol w:w="2638"/>
      </w:tblGrid>
      <w:tr>
        <w:trPr>
          <w:tblHeader/>
        </w:trP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Incidens típusa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Kockázat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NAIH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Érintett értesítés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Elveszett laptop (titkosított)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Alacsony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 kötelező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Elveszett laptop (titkosítatlan)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Magas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72h-n belül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E-mail rossz személynek küldve (nem különleges adat)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Közepes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Általában nem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E-mail rossz személynek (egészségügyi / szociális adat)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Magas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72h-n belül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Zsarolóvírus — adatok titkosítva, backup van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Közepes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Mérlegelendő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Zsarolóvírus — backup nincs / adatvesztés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Nagyon magas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azonnal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azonnal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Papír irat elveszett / ellopták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Közepes–Magas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Mérlegelendő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Mérlegelendő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IT rendszerhez jogosulatlan hozzáférés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Magas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72h-n belül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ha adatvesztés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Weboldal feltörés — személyes adat érintett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Magas–Nagyon magas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 azonnal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Igen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4. Incidensnapló és dokumentáció</w:t>
      </w:r>
    </w:p>
    <w:p>
      <w:pPr>
        <w:pStyle w:val="Heading2"/>
      </w:pPr>
      <w:r>
        <w:t xml:space="preserve">4.1. Az incidensnapló tartalma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Minden adatvédelmi incidenst — a NAIH-bejelentési kötelezettség alá esőket és az alá nem esőket egyaránt — az M8 (Incidensnapló) sablonban kell rögzíteni. A napló legalább 3 évig megőrzendő (GDPR 33(5) cikk).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incidensnapló kötelező tartalmi elemei: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incidens dátuma, időpontja és észlelés időpontja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incidens leírása (mi történt, hogyan derült ki)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érintett adatkategóriák és érintett személyek becsült száma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kockázatszint meghatározása és indoka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NAIH-bejelentés megtörtént-e (ha igen: bejelentés száma, dátuma)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érintetti értesítés megtörtént-e (ha igen: módja, dátuma)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orvoslásra tett intézkedések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incidens lezárásának dátuma</w:t>
      </w:r>
    </w:p>
    <w:p>
      <w:pPr>
        <w:spacing w:after="120" w:before="0"/>
      </w:pPr>
    </w:p>
    <w:p>
      <w:pPr>
        <w:pStyle w:val="Heading2"/>
      </w:pPr>
      <w:r>
        <w:t xml:space="preserve">4.2. Érintetti kérelmek naplója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érintetti kérelmeket az M5 (Érintetti kérelem nyilvántartás) sablonban kell rögzíteni. A napló legalább 3 évig megőrzendő (GDPR 5(2) cikk — elszámoltathatóság).</w:t>
      </w:r>
    </w:p>
    <w:p>
      <w:pPr>
        <w:spacing w:after="120" w:before="0"/>
      </w:pPr>
    </w:p>
    <w:p>
      <w:pPr>
        <w:pStyle w:val="Heading1"/>
      </w:pPr>
      <w:r>
        <w:t xml:space="preserve">5. Kapcsolódó iratsablonok (M-csomag)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200"/>
        <w:gridCol w:w="4838"/>
      </w:tblGrid>
      <w:tr>
        <w:trPr>
          <w:tblHeader/>
        </w:trP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Sablon ID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Sablon neve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Mikor kell használni?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M1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Megismerési nyilatkozat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Új foglalkoztatott belépésekor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M2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Hozzájárulási nyilatkozat (általános)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 a jogalap hozzájárulás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M3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 visszavonása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 visszavonja a hozzájárulását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M4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Adattovábbítási napló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Rendszeres harmadik felé irányuló adattovábbításkor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M5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Érintetti kérelem nyilvántartás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Minden érintetti kérelem rögzítésekor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M6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Kameravisszanézési jegyzőkönyv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Kamerafelvétel megtekintésekor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M7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Fotó/képmás hozzájárulási nyilatkozat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Rendezvényen, sajtóközleményben fotó felhasználásakor</w:t>
            </w:r>
          </w:p>
        </w:tc>
      </w:tr>
      <w:tr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M8</w:t>
            </w:r>
          </w:p>
        </w:tc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Adatvédelmi incidens-bejelentő és napló</w:t>
            </w:r>
          </w:p>
        </w:tc>
        <w:tc>
          <w:tcPr>
            <w:tcW w:type="dxa" w:w="4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Minden adatvédelmi incidens rögzítésekor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Jóváhagyás és aláírás</w:t>
      </w:r>
    </w:p>
    <w:p>
      <w:pPr>
        <w:spacing w:after="120" w:before="0"/>
      </w:pPr>
    </w:p>
    <w:p>
      <w:pPr>
        <w:spacing w:after="80" w:before="0"/>
      </w:pPr>
      <w:r>
        <w:rPr>
          <w:color w:val="4A6572"/>
          <w:sz w:val="22"/>
          <w:szCs w:val="22"/>
        </w:rPr>
        <w:t xml:space="preserve">Kelt: 2026. május 14.</w:t>
      </w:r>
    </w:p>
    <w:tbl>
      <w:tblPr>
        <w:tblW w:type="dxa" w:w="95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39"/>
        <w:gridCol w:w="80"/>
        <w:gridCol w:w="4739"/>
      </w:tblGrid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Jurics Tamás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jegyző, TKÖH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Dr. Crespo Zsuzsanna Ágnes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adatvédelmi tisztviselő (DPO)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Verziókövetési tábla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638"/>
        <w:gridCol w:w="2400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Verzió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Dátum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Változás tartalma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v1.0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2026. május 14.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Első kiadás — érintetti jogok folyamata (7 lépéses), incidenskezelés (10 incidenstípus), kockázatmátrix, NAIH-bejelentés tartalma, M1–M8 sablon hivatkozások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Dr. Crespo Zsuzsanna Ágnes</w:t>
            </w:r>
          </w:p>
        </w:tc>
      </w:tr>
    </w:tbl>
    <w:sectPr>
      <w:headerReference w:type="default" r:id="rId9"/>
      <w:footerReference w:type="default" r:id="rId10"/>
      <w:type w:val="nextPage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TKOH-GDPR-F2-001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TKOH-GDPR-F2-001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TKOH-GDPR-F2-001 • Adatvédelmi Eljárásrend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color="C9860C" w:sz="6" w:space="4"/>
      </w:pBdr>
      <w:spacing w:after="120" w:before="360"/>
      <w:outlineLvl w:val="0"/>
    </w:pPr>
    <w:rPr>
      <w:rFonts w:ascii="Calibri" w:cs="Calibri" w:eastAsia="Calibri" w:hAnsi="Calibri"/>
      <w:b/>
      <w:bCs/>
      <w:color w:val="0D4F6C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after="80" w:before="280"/>
      <w:outlineLvl w:val="1"/>
    </w:pPr>
    <w:rPr>
      <w:rFonts w:ascii="Calibri" w:cs="Calibri" w:eastAsia="Calibri" w:hAnsi="Calibri"/>
      <w:b/>
      <w:bCs/>
      <w:color w:val="0D4F6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after="60" w:before="200"/>
      <w:outlineLvl w:val="2"/>
    </w:pPr>
    <w:rPr>
      <w:rFonts w:ascii="Calibri" w:cs="Calibri" w:eastAsia="Calibri" w:hAnsi="Calibri"/>
      <w:b/>
      <w:bCs/>
      <w:color w:val="1A7A9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2026-05-14T19:14:24.147Z</dcterms:created>
  <dcterms:modified xsi:type="dcterms:W3CDTF">2026-05-14T19:14:24.147Z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