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  <Override ContentType="application/vnd.openxmlformats-officedocument.wordprocessingml.header+xml" PartName="/word/header4.xml"/>
  <Override ContentType="application/vnd.openxmlformats-officedocument.wordprocessingml.footer+xml" PartName="/word/footer4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240"/>
              <w:left w:type="dxa" w:w="400"/>
              <w:bottom w:type="dxa" w:w="240"/>
              <w:right w:type="dxa" w:w="4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TIHANYI KÖZÖS ÖNKORMÁNYZATI HIVATAL</w:t>
            </w:r>
          </w:p>
          <w:p>
            <w:pPr>
              <w:spacing w:before="80"/>
              <w:jc w:val="left"/>
            </w:pPr>
            <w:r>
              <w:rPr>
                <w:rFonts w:ascii="Calibri" w:cs="Calibri" w:eastAsia="Calibri" w:hAnsi="Calibri"/>
                <w:color w:val="B0D4E3"/>
                <w:sz w:val="20"/>
                <w:szCs w:val="20"/>
              </w:rPr>
              <w:t xml:space="preserve">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2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TKOH-GDPR-R1-001</w:t>
            </w:r>
          </w:p>
        </w:tc>
      </w:tr>
    </w:tbl>
    <w:p>
      <w:pPr>
        <w:spacing w:after="160" w:before="0"/>
      </w:pP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0D4F6C"/>
          <w:sz w:val="44"/>
          <w:szCs w:val="44"/>
        </w:rPr>
        <w:t xml:space="preserve">Adatkezelési Tevékenységek Nyilvántartása</w:t>
      </w:r>
    </w:p>
    <w:p>
      <w:pPr>
        <w:spacing w:after="120" w:before="0"/>
      </w:pPr>
      <w:r>
        <w:rPr>
          <w:rFonts w:ascii="Calibri" w:cs="Calibri" w:eastAsia="Calibri" w:hAnsi="Calibri"/>
          <w:color w:val="1A7A9A"/>
          <w:sz w:val="28"/>
          <w:szCs w:val="28"/>
        </w:rPr>
        <w:t xml:space="preserve">GDPR 30. cikk szerinti nyilvántartás (ROPA)</w:t>
      </w:r>
    </w:p>
    <w:p>
      <w:pPr>
        <w:spacing w:after="120" w:before="0"/>
      </w:pPr>
    </w:p>
    <w:tbl>
      <w:tblPr>
        <w:tblW w:type="dxa" w:w="578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2"/>
      </w:tblGrid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v1.1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Készült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2026. május 14.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Kibocsátó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Lektor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(DPO)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c>
          <w:tcPr>
            <w:tcW w:type="dxa" w:w="57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7A9A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  <w:tc>
          <w:tcPr>
            <w:tcW w:type="dxa" w:w="38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 xml:space="preserve">Bevezető és alkalmazási kör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GDPR 30. cikk (1) bekezdése alapján az adatkezelő köteles nyilvántartást vezetni a felelőssége alatt végzett adatkezelési tevékenységekről. E nyilvántartás (ROPA) a Tihanyi Közös Önkormányzati Hivatal valamennyi azonosított adatkezelési tevékenységét tartalmazza.</w:t>
      </w:r>
    </w:p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Adatkezelő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Nyilv. vezető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Jurics Tamás, jegyző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DPO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(zsuzsanna@crespo.hu)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Dok. azonosító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TKOH-GDPR-R1-001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 / Dátum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v1.0 — 2026. május 14.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ROPA-tételek sz.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22 tétel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0D4F6C"/>
                <w:sz w:val="22"/>
                <w:szCs w:val="22"/>
              </w:rPr>
              <w:t xml:space="preserve">Fontos megjegyzések: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[KITÖLTENDŐ] jelölésű mezőkét az ügyfélnek kell kitölteni a csomag élesbe menése előtt.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 nyilvántartást legalább évente, illetve új adatkezelés indításakor frissíteni kell.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 ROPA nem nyilvános dokumentum, de NAIH-megkeresés esetén rendelkezésre kell bocsátani.</w:t>
            </w:r>
          </w:p>
        </w:tc>
      </w:tr>
    </w:tbl>
    <w:p>
      <w:r>
        <w:br w:type="page"/>
      </w:r>
    </w:p>
    <w:p>
      <w:pPr>
        <w:spacing w:after="160" w:before="0"/>
      </w:pPr>
      <w:r>
        <w:rPr>
          <w:b/>
          <w:bCs/>
          <w:color w:val="0D4F6C"/>
          <w:sz w:val="28"/>
          <w:szCs w:val="28"/>
        </w:rPr>
        <w:t xml:space="preserve">Adatkezelési tevékenységek — áttekintő táblázat (22 tétel)</w:t>
      </w:r>
    </w:p>
    <w:tbl>
      <w:tblPr>
        <w:tblW w:type="dxa" w:w="145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800"/>
        <w:gridCol w:w="1600"/>
        <w:gridCol w:w="2100"/>
        <w:gridCol w:w="1500"/>
        <w:gridCol w:w="1500"/>
        <w:gridCol w:w="2900"/>
        <w:gridCol w:w="2470"/>
      </w:tblGrid>
      <w:tr>
        <w:trPr>
          <w:tblHeader/>
        </w:trP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Adatkezelési cél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Érintett személyek köre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Adatkategóriák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Jogalap (GDPR)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Megőrzési idő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Adatfeldolgozó / Címzett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Harmadik ország</w:t>
            </w:r>
          </w:p>
        </w:tc>
      </w:tr>
      <w:tr>
        <w:tc>
          <w:tcPr>
            <w:tcW w:type="dxa" w:w="14570"/>
            <w:gridSpan w:val="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HATÓSÁGI ÉS KÖZIGAZGATÁSI ADATKEZELÉSEK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R-01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Anyakönyvi eljárás (születés, házasság, haláleset nyilvántartása)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Természetes személyek (anyakönyvi bejegyzés alanyai, szülők, házastársak)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anyakönyvi adat, lakcím, egészségügyi adat (haláloknál)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Mötv. + 2010. évi I. tv. (anyakönyvi eljárás)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Örökre megőrzendő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BM Anyakönyvi és Okmányrendészeti Főosztály (önálló ak.); Belügyminisztérium (CÜSZ rendszer)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R-02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Lakcím- és személyiadat-nyilvántartás (bejelentkezés, kijelentkezés, hatósági igazolvány)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Bejelentett lakcímmel rendelkező természetes személyek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lakcím, születési adat, okmányadat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1992. évi LXVI. tv. (lakcímnyilvántartás)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Irattári terv szerint; okmányok 10 év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BM Nyilvántartások Vezetéséért Felelős Helyettes Államtitkárság (önálló ak.)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R-03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Hatósági ügyintézés — általános közigazgatási eljárás (Ákr.)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Ügyfelek (természetes személyek és szervezetek képviselői)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elérhetőség, üggyel kapcsolatos iratok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2016. évi CL. tv. (Ákr.)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78/2012. (XII.28.) BM r. irattári terv szerint (általában 5–10 év)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Tárhely.Eu Kft. (hosting, EU); [KITÖLTENDŐ — ügyviteli rendszer]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R-04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Helyi adóigazgatás (idegenforgalmi adó, helyi iparűzési adó, gépjárműadó)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Adóalanyok (természetes személyek, egyéni vállalkozók, vállalkozások képviselői)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adószám/adóazonosító, bevallási adat, bankszámlaszám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1990. évi C. tv. (helyi adók) + 2017. évi CL. tv. (Art.)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 év (adójog szerinti elévülési idő) + irattári terv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NAV (önálló ak., adatszolgáltatás); Magyar Állam­kincstár; [KITÖLTENDŐ — ASP rendszer]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R-05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Szociális ellátások (rendszeres és eseti segélyek, gyermekvédelmi kedvezmény)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Szociális rászorultságban lévő természetes személyek, törvényes képviselők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jövedelemadatok, vagyoni helyzet, egészségügyi adat (fogyatékosság esetén)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1993. évi III. tv. (Szoctv.) + 1997. évi XXXI. tv. (Gyvt.)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 (jogviszony lezárásától)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Magyar Államkincstár (önálló ak.); [KITÖLTENDŐ — szociális nyilvántartó rendszer]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R-06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Gyermekvédelmi jelzőrendszer (Gyvt. 17. § szerinti jelzési kötelezettség)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Veszélyeztetett gyermekek, törvényes képviselők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szociális körülmény, egészségi állapot — különleges adat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+ 9(2)(g) — 1997. évi XXXI. tv. 17. § (jelzési kötelezettség)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 (jelzéstől)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Gyermekjóléti szolgálat (önálló ak.); Gyámhivatal; Rendőrség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R-07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Építésügyi és ingatlan-nyilvántartással összefüggő hatósági feladatok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Ingatlan-tulajdonosok, kérelmezők, hatóságok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ingatlan-azonosítók, tervdokumentáció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2016. évi LXXIV. tv. (építésügy) + 1997. évi CXLI. tv. (ingatlan-nyilv.)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78/2012. BM r. szerint (általában 10 év)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Járási Hivatal; ÉTDR rendszer (BM)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R-08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Hagyatéki ügyek előkészítése (hagyatéki leltár)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Örökösök, hagyatéki hitelezők, törvényes képviselők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vagyoni helyzet, rokonsági kapcsolat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2010. évi XXXVIII. tv. (hagyatéki eljárás)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Közjegyző (önálló ak.)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R-09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Választási feladatok (névjegyzék, szavazatszámlálás)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Választópolgárok (helyi névjegyzék)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lakcím, szavazati jog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2013. évi XXXVI. tv. (Ve.)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Választást követő 1 év, kivéve jogorvoslati eljárás esetén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OEVI (Országos Egyéni Választókerületi Iroda); NVI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14570"/>
            <w:gridSpan w:val="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MUNKÁLTATÓI ADATKEZELÉSEK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R-10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Közszolgálati jogviszony létesítése, módosítása, megszüntetése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Köztisztviselők, ügykezelők, fizikai alkalmazottak (34 fő)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képzettségi adat, TAJ, adóazonosító, banki adat, egészségügyi alkalmasság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2011. évi CXCIX. tv. (Kttv.) + Mt.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50 év (nyugdíj-nyilvántartás); személyi anyag: jogviszony + 50 év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bérszámfejtő]; Magyar Állam­kincstár; NAV; OEP/NEAK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R-11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Bérszámfejtés, illetményszámítás, TB-adminisztráció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Foglalkoztatottak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TAJ, adóazonosító, bankszámlaszám, illetményadat, levonások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Kttv. + Tbj. 2019. évi CXXXII. tv. + Szja tv.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Bérügyi iratok: 50 év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bérszámfejtő iroda]; NAV (önálló ak.); Magyar Állam­kincstár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R-12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Foglalkozás-egészségügyi vizsgálat (munkavállalói alkalmasság)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Foglalkoztatottak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Egészségügyi adat (különleges kategória — alkalmasság, korlátozások)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+ 9(2)(b) — 1993. évi XCIII. tv. (Mvt.) + 33/1998. NM r.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 (jogviszony megszűnésétől)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foglalkozás-egészségügyi szolgáltató neve, címe] (önálló ak.)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R-13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Céges eszközhasználat nyomon követése (laptop, telefon, e-mail)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Foglalkoztatottak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IT-naplók (belépési idők, e-mail metaadat), eszközhasználati adatok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+ 6(1)(f) — Mt. 9–11/A. § (arányossági korláttal)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IT-naplók: 3 hónap; vizsgálat esetén az eljárás lezárásáig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IT-üzemeltető (adatfeldolgozó)]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14570"/>
            <w:gridSpan w:val="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KAMERARENDSZER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R-14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Kamerarendszer — vagyonvédelem és bűnmegelőzés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 Hivatal területére belépő természetes személyek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Képmás, mozgásadat, esetlegesen rendszám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közhatalmi jogosítvány; Infotv. + Vmtv. 2005. évi CXXXIII. tv. 31. §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30 nap (felhasználás hiányában)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 folyamatban adatfeldolgozó nem vesz részt (saját üzemeltetés); [KITÖLTENDŐ — ha külső karbantartó]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14570"/>
            <w:gridSpan w:val="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DIGITÁLIS / HONLAP / KÖZÖSSÉGI MÉDIA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R-15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Honlap működtetése — munkamenet-sütik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Honlap-látogatók (tihany.hu, tihanyonkormanyzat.hu)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Online azonosító (session ID, IP-cím)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2013. évi L. tv. (Ibtv.) + 41/2015. (VII.15.) BM r.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Munkamenet végéig (böngésző bezárásig)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Tárhely.Eu Kft. (1144 Budapest) — EU-szerver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R-16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Honlap — kényelmi és statisztikai sütik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Honlap-látogatók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Online azonosító, cookie ID, látogatási statisztika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6(1)(a) hozzájárulás (kényelmi); 6(1)(e) közhatalmi feladat (statisztikai — EU-szerver)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Kényelmi süti: 3 hónap; statisztikai: [KITÖLTENDŐ]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Tárhely.Eu Kft. (EU); [KITÖLTENDŐ — ha GA4: Google Ireland Ltd. (USA, EU-US DPF)]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ha GA4: USA (EU-US DPF) / ha saját: Nem]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R-17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Közösségi médiajelenlét — Facebook oldal (Tihany Önkormányzata)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Facebook-oldal látogatói, kommentelők, üzenetküldők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Közösségi profiladat, interakciós adat, üzenet tartalma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közérdekű tájékoztatás; hozzájárulás az oldal látogatásakor (Meta feltételek)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Facebook adatkezelési irányelve szerint (Meta döntés); üzenetek: 1 év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Meta Platforms Ireland Ltd. — KÖZÖS ADATKEZELŐ (GDPR 26. cikk, Page Controller Addendum)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USA (EU-US DPF, 2023/1795/EU határozat)</w:t>
            </w:r>
          </w:p>
        </w:tc>
      </w:tr>
      <w:tr>
        <w:tc>
          <w:tcPr>
            <w:tcW w:type="dxa" w:w="14570"/>
            <w:gridSpan w:val="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SZERZŐDÉSES ÉS KÖZBESZERZÉSI ADATKEZELÉSEK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R-18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Szerződéses kapcsolatok (vállalkozói, megbízási, bérleti szerz.)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Szerződő természetes személyek, képviselők, kapcsolattartók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elérhetőség, bankszámlaszám, szerz. adat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6(1)(b) + 6(1)(c) — Ptk. + Számv. tv.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 év (számviteli bizonylat-megőrzés)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Tárhely.Eu Kft. (dokumentum-tárolás); könyvelő iroda [KITÖLTENDŐ]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R-19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Közbeszerzési eljárások dokumentációja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Ajánlattevők, alvállalkozók képviselői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gazdasági adat, referencia, nyilatkozatok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2015. évi CXLIII. tv. (Kbt.)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 év (közbeszerzési törvény szerint)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Közbeszerzési Hatóság (EKR rendszer); KEKKH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R-20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Panaszkezelés (ügyféli panaszok, közérdekű bejelentések)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Panaszosok (természetes személyek)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elérhetőség, panasz tartalma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6(1)(e) — 2013. évi CLXV. tv. (panasztörvény) + Ákr.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 év (panasz elbírálásától)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Nincs külső adatfeldolgozó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14570"/>
            <w:gridSpan w:val="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1A7A9A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ADATVÉDELMI ADMINISZTRÁCIÓ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R-21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Adatvédelmi incidensnapló és érintetti kérelmek nyilvántartása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Adatvédelmi incidensben érintett személyek; érintetti jogaikat gyakorló személyek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incidens/kérelem leírása, válasz tartalma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GDPR 33(5) + GDPR 5(2) elszámoltathatóság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Legalább 3 év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Nincs külső adatfeldolgozó (belső irat)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  <w:tr>
        <w:tc>
          <w:tcPr>
            <w:tcW w:type="dxa" w:w="7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R-22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Hozzájárulások nyilvántartása (fotó, hírlevél, kényelmi süti)</w:t>
            </w:r>
          </w:p>
        </w:tc>
        <w:tc>
          <w:tcPr>
            <w:tcW w:type="dxa" w:w="1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Hozzájáruló érintett személyek</w:t>
            </w:r>
          </w:p>
        </w:tc>
        <w:tc>
          <w:tcPr>
            <w:tcW w:type="dxa" w:w="21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Azonosító adat, hozzájárulás tárgya, időpontja, visszavonás ténye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6(1)(c) — GDPR 7(1) (igazolási kötelezettség)</w:t>
            </w:r>
          </w:p>
        </w:tc>
        <w:tc>
          <w:tcPr>
            <w:tcW w:type="dxa" w:w="15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 visszavonásáig + 5 év (elévülés)</w:t>
            </w:r>
          </w:p>
        </w:tc>
        <w:tc>
          <w:tcPr>
            <w:tcW w:type="dxa" w:w="29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Tárhely.Eu Kft. (EU)</w:t>
            </w:r>
          </w:p>
        </w:tc>
        <w:tc>
          <w:tcPr>
            <w:tcW w:type="dxa" w:w="247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Nem</w:t>
            </w:r>
          </w:p>
        </w:tc>
      </w:tr>
    </w:tbl>
    <w:p>
      <w:pPr>
        <w:sectPr>
          <w:headerReference w:type="default" r:id="rId11"/>
          <w:footerReference w:type="default" r:id="rId12"/>
          <w:type w:val="nextPage"/>
          <w:pgSz w:w="16838" w:h="11906" w:orient="landscape"/>
          <w:pgMar w:top="1134" w:right="1134" w:bottom="1134" w:left="1134" w:header="708" w:footer="708" w:gutter="0"/>
          <w:pgNumType/>
          <w:docGrid w:linePitch="360"/>
        </w:sectPr>
      </w:pPr>
    </w:p>
    <w:p>
      <w:pPr>
        <w:pStyle w:val="Heading1"/>
      </w:pPr>
      <w:r>
        <w:t xml:space="preserve">Jóváhagyás és aláírás</w:t>
      </w:r>
    </w:p>
    <w:p>
      <w:pPr>
        <w:spacing w:after="120" w:before="0"/>
      </w:pPr>
    </w:p>
    <w:p>
      <w:pPr>
        <w:spacing w:after="80" w:before="0"/>
      </w:pPr>
      <w:r>
        <w:rPr>
          <w:color w:val="4A6572"/>
          <w:sz w:val="22"/>
          <w:szCs w:val="22"/>
        </w:rPr>
        <w:t xml:space="preserve">Kelt: 2026. május 14.</w:t>
      </w:r>
    </w:p>
    <w:tbl>
      <w:tblPr>
        <w:tblW w:type="dxa" w:w="955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39"/>
        <w:gridCol w:w="80"/>
        <w:gridCol w:w="4739"/>
      </w:tblGrid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Jurics Tamás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jegyző, TKÖH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473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Dr. Crespo Zsuzsanna Ágnes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adatvédelmi tisztviselő (DPO)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Verziókövetési tábla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638"/>
        <w:gridCol w:w="2400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Verzió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Dátum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Változás tartalma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v1.1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2026. május 14.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Első kiadás — 22 ROPA-tétel, hatósági + munkáltatói + digitális + szerz. kategóriák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Dr. Crespo Zsuzsanna Ágnes</w:t>
            </w:r>
          </w:p>
        </w:tc>
      </w:tr>
    </w:tbl>
    <w:sectPr>
      <w:headerReference w:type="default" r:id="rId13"/>
      <w:footerReference w:type="default" r:id="rId14"/>
      <w:type w:val="nextPage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TKOH-GDPR-R1-001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TKOH-GDPR-R1-001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7285"/>
        <w:tab w:val="right" w:pos="14570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TKOH-GDPR-R1-001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Bizalmas — csak belső használatra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TKOH-GDPR-R1-001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TKOH-GDPR-R1-001 • Adatkezelési Tevékenységek Nyilvántartása (ROPA)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14570"/>
      </w:tabs>
      <w:spacing w:after="100" w:before="0"/>
    </w:pPr>
    <w:r>
      <w:rPr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t xml:space="preserve">TKOH-GDPR-R1-001 • Adatkezelési Tevékenységek Nyilvántartása (ROPA)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TKOH-GDPR-R1-001 • Adatkezelési Tevékenységek Nyilvántartása (ROPA)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color="C9860C" w:sz="6" w:space="4"/>
      </w:pBdr>
      <w:spacing w:after="120" w:before="360"/>
      <w:outlineLvl w:val="0"/>
    </w:pPr>
    <w:rPr>
      <w:rFonts w:ascii="Calibri" w:cs="Calibri" w:eastAsia="Calibri" w:hAnsi="Calibri"/>
      <w:b/>
      <w:bCs/>
      <w:color w:val="0D4F6C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after="80" w:before="280"/>
      <w:outlineLvl w:val="1"/>
    </w:pPr>
    <w:rPr>
      <w:rFonts w:ascii="Calibri" w:cs="Calibri" w:eastAsia="Calibri" w:hAnsi="Calibri"/>
      <w:b/>
      <w:bCs/>
      <w:color w:val="0D4F6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after="60" w:before="200"/>
      <w:outlineLvl w:val="2"/>
    </w:pPr>
    <w:rPr>
      <w:rFonts w:ascii="Calibri" w:cs="Calibri" w:eastAsia="Calibri" w:hAnsi="Calibri"/>
      <w:b/>
      <w:bCs/>
      <w:color w:val="1A7A9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er4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word/_rels/header3.xml.rels><?xml version="1.0" encoding="UTF-8"?><Relationships xmlns="http://schemas.openxmlformats.org/package/2006/relationships"/>
</file>

<file path=word/_rels/header4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2026-05-14T18:56:16.902Z</dcterms:created>
  <dcterms:modified xsi:type="dcterms:W3CDTF">2026-05-14T18:56:16.902Z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